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0001569147</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BANC OF CALIFORNIA,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001-35522</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11611 San Vicente</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Boulevard, 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90049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855.361.2262</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PL Capital Advisors,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22"/>
          <w:szCs w:val="22"/>
          <w:color w:val="auto"/>
        </w:rPr>
        <w:t>Keefe, Bruyette &amp; Woods,</w:t>
      </w:r>
    </w:p>
    <w:p>
      <w:pPr>
        <w:ind w:left="40"/>
        <w:spacing w:after="0" w:line="184" w:lineRule="auto"/>
        <w:tabs>
          <w:tab w:leader="none" w:pos="250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1750000</w:t>
      </w:r>
      <w:r>
        <w:rPr>
          <w:sz w:val="20"/>
          <w:szCs w:val="20"/>
          <w:color w:val="auto"/>
        </w:rPr>
        <w:tab/>
      </w:r>
      <w:r>
        <w:rPr>
          <w:rFonts w:ascii="Times New Roman" w:cs="Times New Roman" w:eastAsia="Times New Roman" w:hAnsi="Times New Roman"/>
          <w:sz w:val="18"/>
          <w:szCs w:val="18"/>
          <w:color w:val="auto"/>
        </w:rPr>
        <w:t>34475000</w:t>
      </w:r>
    </w:p>
    <w:p>
      <w:pPr>
        <w:ind w:left="2520"/>
        <w:spacing w:after="0" w:line="231" w:lineRule="auto"/>
        <w:rPr>
          <w:sz w:val="20"/>
          <w:szCs w:val="20"/>
          <w:color w:val="auto"/>
        </w:rPr>
      </w:pPr>
      <w:r>
        <w:rPr>
          <w:rFonts w:ascii="Times New Roman" w:cs="Times New Roman" w:eastAsia="Times New Roman" w:hAnsi="Times New Roman"/>
          <w:sz w:val="22"/>
          <w:szCs w:val="22"/>
          <w:color w:val="auto"/>
        </w:rPr>
        <w:t>787 7th Avenue</w:t>
      </w:r>
    </w:p>
    <w:p>
      <w:pPr>
        <w:spacing w:after="0" w:line="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153724787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04/23/2014 Open Market</w:t>
      </w:r>
      <w:r>
        <w:rPr>
          <w:sz w:val="20"/>
          <w:szCs w:val="20"/>
          <w:color w:val="auto"/>
        </w:rPr>
        <w:tab/>
      </w:r>
      <w:r>
        <w:rPr>
          <w:rFonts w:ascii="Times New Roman" w:cs="Times New Roman" w:eastAsia="Times New Roman" w:hAnsi="Times New Roman"/>
          <w:sz w:val="22"/>
          <w:szCs w:val="22"/>
          <w:color w:val="auto"/>
        </w:rPr>
        <w:t xml:space="preserve">NA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1750000</w:t>
      </w:r>
      <w:r>
        <w:rPr>
          <w:sz w:val="20"/>
          <w:szCs w:val="20"/>
          <w:color w:val="auto"/>
        </w:rPr>
        <w:tab/>
      </w:r>
      <w:r>
        <w:rPr>
          <w:rFonts w:ascii="Times New Roman" w:cs="Times New Roman" w:eastAsia="Times New Roman" w:hAnsi="Times New Roman"/>
          <w:sz w:val="21"/>
          <w:szCs w:val="21"/>
          <w:color w:val="auto"/>
        </w:rPr>
        <w:t>12/31/2016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Under "Securities Information," the name and the address of additional brokers that may be used are as follows: Stifel, Nicolaus &amp; Company, Incorporated, 501 North Broadway, St. Louis, MO 63102; RBC Capital Markets, LLC, 200 Vesey Street, NY, NY 10281; and BTIG, LLC, 65 East 55th Street, NY, NY 10022. Under "Securities Information," the number of shares to be sold includes 1,000,000 shares of common stock to possibly be sold via listed call option transactions. Under "Securities To Be Sold," the date of acquisition and the date of payment are various dates between April 23, 2014 and March 14,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06/11/2026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Richard J. Lashley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2026-06-11T20:34:38Z</dcterms:created>
  <dcterms:modified xsi:type="dcterms:W3CDTF">2026-06-11T20:34:38Z</dcterms:modified>
</cp:coreProperties>
</file>