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728980</wp:posOffset>
            </wp:positionV>
            <wp:extent cx="7160895"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143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60895"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143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104775</wp:posOffset>
            </wp:positionV>
            <wp:extent cx="7160895"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143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21, 2026</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BANC OF CALIFORNIA,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74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Maryland</w:t>
            </w:r>
          </w:p>
        </w:tc>
        <w:tc>
          <w:tcPr>
            <w:tcW w:w="4240" w:type="dxa"/>
            <w:vAlign w:val="bottom"/>
          </w:tcPr>
          <w:p>
            <w:pPr>
              <w:jc w:val="right"/>
              <w:ind w:right="1520"/>
              <w:spacing w:after="0"/>
              <w:rPr>
                <w:sz w:val="20"/>
                <w:szCs w:val="20"/>
                <w:color w:val="auto"/>
              </w:rPr>
            </w:pPr>
            <w:r>
              <w:rPr>
                <w:rFonts w:ascii="Times New Roman" w:cs="Times New Roman" w:eastAsia="Times New Roman" w:hAnsi="Times New Roman"/>
                <w:sz w:val="12"/>
                <w:szCs w:val="12"/>
                <w:b w:val="1"/>
                <w:bCs w:val="1"/>
                <w:color w:val="auto"/>
              </w:rPr>
              <w:t>001-35522</w:t>
            </w:r>
          </w:p>
        </w:tc>
        <w:tc>
          <w:tcPr>
            <w:tcW w:w="3300" w:type="dxa"/>
            <w:vAlign w:val="bottom"/>
          </w:tcPr>
          <w:p>
            <w:pPr>
              <w:ind w:left="1200"/>
              <w:spacing w:after="0"/>
              <w:rPr>
                <w:sz w:val="20"/>
                <w:szCs w:val="20"/>
                <w:color w:val="auto"/>
              </w:rPr>
            </w:pPr>
            <w:r>
              <w:rPr>
                <w:rFonts w:ascii="Times New Roman" w:cs="Times New Roman" w:eastAsia="Times New Roman" w:hAnsi="Times New Roman"/>
                <w:sz w:val="12"/>
                <w:szCs w:val="12"/>
                <w:b w:val="1"/>
                <w:bCs w:val="1"/>
                <w:color w:val="auto"/>
              </w:rPr>
              <w:t>04-3639825</w:t>
            </w:r>
          </w:p>
        </w:tc>
      </w:tr>
      <w:tr>
        <w:trPr>
          <w:trHeight w:val="159"/>
        </w:trPr>
        <w:tc>
          <w:tcPr>
            <w:tcW w:w="3740" w:type="dxa"/>
            <w:vAlign w:val="bottom"/>
          </w:tcPr>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tc>
        <w:tc>
          <w:tcPr>
            <w:tcW w:w="4240" w:type="dxa"/>
            <w:vAlign w:val="bottom"/>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rPr>
              <w:t>(Commission File Number)</w:t>
            </w:r>
          </w:p>
        </w:tc>
        <w:tc>
          <w:tcPr>
            <w:tcW w:w="330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r>
      <w:tr>
        <w:trPr>
          <w:trHeight w:val="507"/>
        </w:trPr>
        <w:tc>
          <w:tcPr>
            <w:tcW w:w="37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11611 San Vicente Boulevard, Suite 500</w:t>
            </w:r>
          </w:p>
        </w:tc>
        <w:tc>
          <w:tcPr>
            <w:tcW w:w="42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53"/>
        </w:trPr>
        <w:tc>
          <w:tcPr>
            <w:tcW w:w="3740" w:type="dxa"/>
            <w:vAlign w:val="bottom"/>
          </w:tcPr>
          <w:p>
            <w:pPr>
              <w:ind w:left="1880"/>
              <w:spacing w:after="0"/>
              <w:rPr>
                <w:sz w:val="20"/>
                <w:szCs w:val="20"/>
                <w:color w:val="auto"/>
              </w:rPr>
            </w:pPr>
            <w:r>
              <w:rPr>
                <w:rFonts w:ascii="Times New Roman" w:cs="Times New Roman" w:eastAsia="Times New Roman" w:hAnsi="Times New Roman"/>
                <w:sz w:val="12"/>
                <w:szCs w:val="12"/>
                <w:b w:val="1"/>
                <w:bCs w:val="1"/>
                <w:color w:val="auto"/>
              </w:rPr>
              <w:t>Los Angeles, California</w:t>
            </w:r>
          </w:p>
        </w:tc>
        <w:tc>
          <w:tcPr>
            <w:tcW w:w="4240" w:type="dxa"/>
            <w:vAlign w:val="bottom"/>
          </w:tcPr>
          <w:p>
            <w:pPr>
              <w:spacing w:after="0"/>
              <w:rPr>
                <w:sz w:val="13"/>
                <w:szCs w:val="13"/>
                <w:color w:val="auto"/>
              </w:rPr>
            </w:pPr>
          </w:p>
        </w:tc>
        <w:tc>
          <w:tcPr>
            <w:tcW w:w="3300" w:type="dxa"/>
            <w:vAlign w:val="bottom"/>
          </w:tcPr>
          <w:p>
            <w:pPr>
              <w:jc w:val="right"/>
              <w:ind w:right="1640"/>
              <w:spacing w:after="0"/>
              <w:rPr>
                <w:sz w:val="20"/>
                <w:szCs w:val="20"/>
                <w:color w:val="auto"/>
              </w:rPr>
            </w:pPr>
            <w:r>
              <w:rPr>
                <w:rFonts w:ascii="Times New Roman" w:cs="Times New Roman" w:eastAsia="Times New Roman" w:hAnsi="Times New Roman"/>
                <w:sz w:val="12"/>
                <w:szCs w:val="12"/>
                <w:b w:val="1"/>
                <w:bCs w:val="1"/>
                <w:color w:val="auto"/>
              </w:rPr>
              <w:t>90049</w:t>
            </w:r>
          </w:p>
        </w:tc>
      </w:tr>
      <w:tr>
        <w:trPr>
          <w:trHeight w:val="159"/>
        </w:trPr>
        <w:tc>
          <w:tcPr>
            <w:tcW w:w="3740" w:type="dxa"/>
            <w:vAlign w:val="bottom"/>
          </w:tcPr>
          <w:p>
            <w:pPr>
              <w:ind w:left="15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4240" w:type="dxa"/>
            <w:vAlign w:val="bottom"/>
          </w:tcPr>
          <w:p>
            <w:pPr>
              <w:spacing w:after="0"/>
              <w:rPr>
                <w:sz w:val="13"/>
                <w:szCs w:val="13"/>
                <w:color w:val="auto"/>
              </w:rPr>
            </w:pPr>
          </w:p>
        </w:tc>
        <w:tc>
          <w:tcPr>
            <w:tcW w:w="3300" w:type="dxa"/>
            <w:vAlign w:val="bottom"/>
          </w:tcPr>
          <w:p>
            <w:pPr>
              <w:ind w:left="120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351"/>
        </w:trPr>
        <w:tc>
          <w:tcPr>
            <w:tcW w:w="3740" w:type="dxa"/>
            <w:vAlign w:val="bottom"/>
          </w:tcPr>
          <w:p>
            <w:pPr>
              <w:spacing w:after="0"/>
              <w:rPr>
                <w:sz w:val="24"/>
                <w:szCs w:val="24"/>
                <w:color w:val="auto"/>
              </w:rPr>
            </w:pPr>
          </w:p>
        </w:tc>
        <w:tc>
          <w:tcPr>
            <w:tcW w:w="4240" w:type="dxa"/>
            <w:vAlign w:val="bottom"/>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 xml:space="preserve">Registrant’s telephone number, including area code: </w:t>
            </w:r>
            <w:r>
              <w:rPr>
                <w:rFonts w:ascii="Times New Roman" w:cs="Times New Roman" w:eastAsia="Times New Roman" w:hAnsi="Times New Roman"/>
                <w:sz w:val="12"/>
                <w:szCs w:val="12"/>
                <w:color w:val="auto"/>
                <w:w w:val="99"/>
              </w:rPr>
              <w:t>(</w:t>
            </w:r>
            <w:r>
              <w:rPr>
                <w:rFonts w:ascii="Times New Roman" w:cs="Times New Roman" w:eastAsia="Times New Roman" w:hAnsi="Times New Roman"/>
                <w:sz w:val="12"/>
                <w:szCs w:val="12"/>
                <w:b w:val="1"/>
                <w:bCs w:val="1"/>
                <w:color w:val="auto"/>
                <w:w w:val="99"/>
              </w:rPr>
              <w:t>855) 361-2262</w:t>
            </w:r>
          </w:p>
        </w:tc>
        <w:tc>
          <w:tcPr>
            <w:tcW w:w="3300" w:type="dxa"/>
            <w:vAlign w:val="bottom"/>
          </w:tcPr>
          <w:p>
            <w:pPr>
              <w:spacing w:after="0"/>
              <w:rPr>
                <w:sz w:val="24"/>
                <w:szCs w:val="24"/>
                <w:color w:val="auto"/>
              </w:rPr>
            </w:pPr>
          </w:p>
        </w:tc>
      </w:tr>
      <w:tr>
        <w:trPr>
          <w:trHeight w:val="273"/>
        </w:trPr>
        <w:tc>
          <w:tcPr>
            <w:tcW w:w="3740" w:type="dxa"/>
            <w:vAlign w:val="bottom"/>
          </w:tcPr>
          <w:p>
            <w:pPr>
              <w:spacing w:after="0"/>
              <w:rPr>
                <w:sz w:val="23"/>
                <w:szCs w:val="23"/>
                <w:color w:val="auto"/>
              </w:rPr>
            </w:pPr>
          </w:p>
        </w:tc>
        <w:tc>
          <w:tcPr>
            <w:tcW w:w="4240" w:type="dxa"/>
            <w:vAlign w:val="bottom"/>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3300" w:type="dxa"/>
            <w:vAlign w:val="bottom"/>
          </w:tcPr>
          <w:p>
            <w:pPr>
              <w:spacing w:after="0"/>
              <w:rPr>
                <w:sz w:val="23"/>
                <w:szCs w:val="23"/>
                <w:color w:val="auto"/>
              </w:rPr>
            </w:pPr>
          </w:p>
        </w:tc>
      </w:tr>
      <w:tr>
        <w:trPr>
          <w:trHeight w:val="159"/>
        </w:trPr>
        <w:tc>
          <w:tcPr>
            <w:tcW w:w="3740" w:type="dxa"/>
            <w:vAlign w:val="bottom"/>
          </w:tcPr>
          <w:p>
            <w:pPr>
              <w:spacing w:after="0"/>
              <w:rPr>
                <w:sz w:val="13"/>
                <w:szCs w:val="13"/>
                <w:color w:val="auto"/>
              </w:rPr>
            </w:pPr>
          </w:p>
        </w:tc>
        <w:tc>
          <w:tcPr>
            <w:tcW w:w="4240" w:type="dxa"/>
            <w:vAlign w:val="bottom"/>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3300" w:type="dxa"/>
            <w:vAlign w:val="bottom"/>
          </w:tcPr>
          <w:p>
            <w:pPr>
              <w:spacing w:after="0"/>
              <w:rPr>
                <w:sz w:val="13"/>
                <w:szCs w:val="13"/>
                <w:color w:val="auto"/>
              </w:rPr>
            </w:pPr>
          </w:p>
        </w:tc>
      </w:tr>
      <w:tr>
        <w:trPr>
          <w:trHeight w:val="135"/>
        </w:trPr>
        <w:tc>
          <w:tcPr>
            <w:tcW w:w="3740" w:type="dxa"/>
            <w:vAlign w:val="bottom"/>
            <w:tcBorders>
              <w:bottom w:val="single" w:sz="8" w:color="auto"/>
            </w:tcBorders>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r>
    </w:tbl>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w:t>
      </w:r>
    </w:p>
    <w:p>
      <w:pPr>
        <w:spacing w:after="0" w:line="159" w:lineRule="exact"/>
        <w:rPr>
          <w:sz w:val="24"/>
          <w:szCs w:val="24"/>
          <w:color w:val="auto"/>
        </w:rPr>
      </w:pPr>
    </w:p>
    <w:p>
      <w:pPr>
        <w:ind w:left="240" w:hanging="236"/>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240" w:hanging="236"/>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96" w:lineRule="exact"/>
        <w:rPr>
          <w:rFonts w:ascii="MS PGothic" w:cs="MS PGothic" w:eastAsia="MS PGothic" w:hAnsi="MS PGothic"/>
          <w:sz w:val="12"/>
          <w:szCs w:val="12"/>
          <w:color w:val="auto"/>
        </w:rPr>
      </w:pPr>
    </w:p>
    <w:p>
      <w:pPr>
        <w:ind w:left="220" w:hanging="216"/>
        <w:spacing w:after="0"/>
        <w:tabs>
          <w:tab w:leader="none" w:pos="2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2"/>
          <w:szCs w:val="12"/>
          <w:color w:val="auto"/>
        </w:rPr>
      </w:pPr>
    </w:p>
    <w:p>
      <w:pPr>
        <w:ind w:left="220" w:hanging="216"/>
        <w:spacing w:after="0"/>
        <w:tabs>
          <w:tab w:leader="none" w:pos="2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1129665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7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5"/>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5"/>
        </w:trPr>
        <w:tc>
          <w:tcPr>
            <w:tcW w:w="6660" w:type="dxa"/>
            <w:vAlign w:val="bottom"/>
            <w:gridSpan w:val="2"/>
          </w:tcPr>
          <w:p>
            <w:pPr>
              <w:ind w:left="28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28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9"/>
        </w:trPr>
        <w:tc>
          <w:tcPr>
            <w:tcW w:w="6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Common Stock, par value $0.01 per share</w:t>
            </w:r>
          </w:p>
        </w:tc>
        <w:tc>
          <w:tcPr>
            <w:tcW w:w="100" w:type="dxa"/>
            <w:vAlign w:val="bottom"/>
          </w:tcPr>
          <w:p>
            <w:pPr>
              <w:spacing w:after="0"/>
              <w:rPr>
                <w:sz w:val="12"/>
                <w:szCs w:val="12"/>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BANC</w:t>
            </w:r>
          </w:p>
        </w:tc>
        <w:tc>
          <w:tcPr>
            <w:tcW w:w="100" w:type="dxa"/>
            <w:vAlign w:val="bottom"/>
          </w:tcPr>
          <w:p>
            <w:pPr>
              <w:spacing w:after="0"/>
              <w:rPr>
                <w:sz w:val="12"/>
                <w:szCs w:val="12"/>
                <w:color w:val="auto"/>
              </w:rPr>
            </w:pPr>
          </w:p>
        </w:tc>
        <w:tc>
          <w:tcPr>
            <w:tcW w:w="2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New York Stock Exchange</w:t>
            </w:r>
          </w:p>
        </w:tc>
      </w:tr>
      <w:tr>
        <w:trPr>
          <w:trHeight w:val="119"/>
        </w:trPr>
        <w:tc>
          <w:tcPr>
            <w:tcW w:w="666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Depositary Shares, each representing a 1/40th interest in a share of 7.75% fixed rate reset non-cumulative perpetual preferred stock,</w:t>
            </w:r>
          </w:p>
        </w:tc>
        <w:tc>
          <w:tcPr>
            <w:tcW w:w="180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2"/>
                <w:szCs w:val="12"/>
                <w:color w:val="auto"/>
                <w:w w:val="99"/>
              </w:rPr>
              <w:t>BANC/PF</w:t>
            </w:r>
          </w:p>
        </w:tc>
        <w:tc>
          <w:tcPr>
            <w:tcW w:w="28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New York Stock Exchange</w:t>
            </w:r>
          </w:p>
        </w:tc>
      </w:tr>
      <w:tr>
        <w:trPr>
          <w:trHeight w:val="155"/>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F</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6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1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0"/>
          <w:szCs w:val="20"/>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570865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3"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21, 2026, Banc of California, Inc. (the “Company”) issued a press release announcing financial results for the fourth quarter and full year ended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copy of the press release is furnished herewith as Exhibit 99.1 and is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Company will host a conference call to discuss its fourth quarter and full year 2025 results at 10:00 A.M. Pacific Time on Thursday, January 22, 2026. Interested parties may attend the conference call by dialing (888) 317-6003 and referencing event code 0299940. A live audio webcast will be available through the webcast link to be posted on the Company’s Investor Relations website at www.bancofcal.com/investor, in addition to the slide presentation for investor review prior to the call. A copy of the presentation materials is furnished herewith as Exhibit 99.2 and is incorporated by reference herein.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 Exhibits.</w:t>
      </w:r>
    </w:p>
    <w:p>
      <w:pPr>
        <w:spacing w:after="0" w:line="1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FF"/>
        </w:rPr>
        <w:t>Banc of California, Inc. Press Release dated January 21, 2026</w:t>
      </w:r>
    </w:p>
    <w:p>
      <w:pPr>
        <w:spacing w:after="0" w:line="1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2"/>
          <w:szCs w:val="12"/>
          <w:u w:val="single" w:color="auto"/>
          <w:color w:val="0000FF"/>
        </w:rPr>
        <w:t>Banc of California, Inc. Earnings Conference Call Presentation Materials</w:t>
      </w:r>
    </w:p>
    <w:p>
      <w:pPr>
        <w:spacing w:after="0" w:line="1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2"/>
          <w:szCs w:val="12"/>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3564255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42" w:right="31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2"/>
          <w:szCs w:val="12"/>
          <w:b w:val="1"/>
          <w:bCs w:val="1"/>
          <w:color w:val="auto"/>
        </w:rPr>
        <w:t>BANC OF CALIFORNIA, INC.</w:t>
      </w:r>
    </w:p>
    <w:p>
      <w:pPr>
        <w:spacing w:after="0" w:line="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2"/>
          <w:szCs w:val="12"/>
          <w:color w:val="auto"/>
        </w:rPr>
        <w:t>/s/ Joseph Kauder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9525</wp:posOffset>
            </wp:positionV>
            <wp:extent cx="22288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2"/>
          <w:szCs w:val="12"/>
          <w:color w:val="auto"/>
        </w:rPr>
        <w:t>Joseph Kauder</w:t>
      </w:r>
    </w:p>
    <w:p>
      <w:pPr>
        <w:spacing w:after="0" w:line="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2"/>
          <w:szCs w:val="12"/>
          <w:i w:val="1"/>
          <w:iCs w:val="1"/>
          <w:color w:val="auto"/>
        </w:rPr>
        <w:t>Executive Vice President and</w:t>
      </w:r>
    </w:p>
    <w:p>
      <w:pPr>
        <w:ind w:left="318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January 21, 2026</w:t>
      </w:r>
    </w:p>
    <w:p>
      <w:pPr>
        <w:sectPr>
          <w:pgSz w:w="11900" w:h="16838" w:orient="portrait"/>
          <w:cols w:equalWidth="0" w:num="1">
            <w:col w:w="10159"/>
          </w:cols>
          <w:pgMar w:left="300" w:top="989"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88900</wp:posOffset>
            </wp:positionV>
            <wp:extent cx="4663440" cy="640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663440" cy="640080"/>
                    </a:xfrm>
                    <a:prstGeom prst="rect">
                      <a:avLst/>
                    </a:prstGeom>
                    <a:noFill/>
                  </pic:spPr>
                </pic:pic>
              </a:graphicData>
            </a:graphic>
          </wp:anchor>
        </w:drawing>
      </w:r>
    </w:p>
    <w:p>
      <w:pPr>
        <w:spacing w:after="0" w:line="394" w:lineRule="exact"/>
        <w:rPr>
          <w:sz w:val="20"/>
          <w:szCs w:val="20"/>
          <w:color w:val="auto"/>
        </w:rPr>
      </w:pPr>
    </w:p>
    <w:p>
      <w:pPr>
        <w:jc w:val="center"/>
        <w:ind w:left="380"/>
        <w:spacing w:after="0" w:line="255" w:lineRule="auto"/>
        <w:rPr>
          <w:sz w:val="20"/>
          <w:szCs w:val="20"/>
          <w:color w:val="auto"/>
        </w:rPr>
      </w:pPr>
      <w:r>
        <w:rPr>
          <w:rFonts w:ascii="Arial" w:cs="Arial" w:eastAsia="Arial" w:hAnsi="Arial"/>
          <w:sz w:val="13"/>
          <w:szCs w:val="13"/>
          <w:color w:val="auto"/>
        </w:rPr>
        <w:t>Banc of California, Inc. Reports Fourth Quarter Diluted Earnings per Share of $0.42, Up 11% Quarter over Quarter; Full Year Diluted Earnings per Share of $1.17, Significant Growth Year over Year</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Company Release – 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78040" cy="91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52" w:lineRule="exact"/>
        <w:rPr>
          <w:sz w:val="20"/>
          <w:szCs w:val="20"/>
          <w:color w:val="auto"/>
        </w:rPr>
      </w:pPr>
    </w:p>
    <w:p>
      <w:pPr>
        <w:ind w:left="48"/>
        <w:spacing w:after="0"/>
        <w:rPr>
          <w:sz w:val="20"/>
          <w:szCs w:val="20"/>
          <w:color w:val="auto"/>
        </w:rPr>
      </w:pPr>
      <w:r>
        <w:rPr>
          <w:rFonts w:ascii="Arial" w:cs="Arial" w:eastAsia="Arial" w:hAnsi="Arial"/>
          <w:sz w:val="11"/>
          <w:szCs w:val="11"/>
          <w:b w:val="1"/>
          <w:bCs w:val="1"/>
          <w:color w:val="FFFFFF"/>
        </w:rPr>
        <w:t>Quarter Highlights</w:t>
      </w:r>
    </w:p>
    <w:p>
      <w:pPr>
        <w:spacing w:after="0" w:line="28" w:lineRule="exact"/>
        <w:rPr>
          <w:sz w:val="20"/>
          <w:szCs w:val="20"/>
          <w:color w:val="auto"/>
        </w:rPr>
      </w:pPr>
    </w:p>
    <w:p>
      <w:pPr>
        <w:ind w:left="3868"/>
        <w:spacing w:after="0"/>
        <w:rPr>
          <w:sz w:val="20"/>
          <w:szCs w:val="20"/>
          <w:color w:val="auto"/>
        </w:rPr>
      </w:pPr>
      <w:r>
        <w:rPr>
          <w:rFonts w:ascii="Arial" w:cs="Arial" w:eastAsia="Arial" w:hAnsi="Arial"/>
          <w:sz w:val="24"/>
          <w:szCs w:val="24"/>
          <w:b w:val="1"/>
          <w:bCs w:val="1"/>
          <w:color w:val="B19530"/>
        </w:rPr>
        <w:t>$19.56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7178040" cy="634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634365"/>
                    </a:xfrm>
                    <a:prstGeom prst="rect">
                      <a:avLst/>
                    </a:prstGeom>
                    <a:noFill/>
                  </pic:spPr>
                </pic:pic>
              </a:graphicData>
            </a:graphic>
          </wp:anchor>
        </w:drawing>
      </w:r>
    </w:p>
    <w:p>
      <w:pPr>
        <w:sectPr>
          <w:pgSz w:w="11900" w:h="16838" w:orient="portrait"/>
          <w:cols w:equalWidth="0" w:num="1">
            <w:col w:w="11288"/>
          </w:cols>
          <w:pgMar w:left="292" w:top="1440" w:right="319" w:bottom="1440" w:gutter="0" w:footer="0" w:header="0"/>
        </w:sectPr>
      </w:pPr>
    </w:p>
    <w:p>
      <w:pPr>
        <w:spacing w:after="0" w:line="10" w:lineRule="exact"/>
        <w:rPr>
          <w:sz w:val="20"/>
          <w:szCs w:val="20"/>
          <w:color w:val="auto"/>
        </w:rPr>
      </w:pPr>
    </w:p>
    <w:p>
      <w:pPr>
        <w:ind w:left="3708"/>
        <w:spacing w:after="0"/>
        <w:rPr>
          <w:sz w:val="20"/>
          <w:szCs w:val="20"/>
          <w:color w:val="auto"/>
        </w:rPr>
      </w:pPr>
      <w:r>
        <w:rPr>
          <w:rFonts w:ascii="Arial" w:cs="Arial" w:eastAsia="Arial" w:hAnsi="Arial"/>
          <w:sz w:val="10"/>
          <w:szCs w:val="10"/>
          <w:color w:val="FFFFFF"/>
        </w:rPr>
        <w:t>Book Value Per Share</w:t>
      </w:r>
    </w:p>
    <w:p>
      <w:pPr>
        <w:sectPr>
          <w:pgSz w:w="11900" w:h="16838" w:orient="portrait"/>
          <w:cols w:equalWidth="0" w:num="1">
            <w:col w:w="11288"/>
          </w:cols>
          <w:pgMar w:left="292" w:top="1440" w:right="319" w:bottom="1440" w:gutter="0" w:footer="0" w:header="0"/>
          <w:type w:val="continuous"/>
        </w:sectPr>
      </w:pPr>
    </w:p>
    <w:tbl>
      <w:tblPr>
        <w:tblLayout w:type="fixed"/>
        <w:tblInd w:w="908" w:type="dxa"/>
        <w:tblCellMar>
          <w:top w:w="0" w:type="dxa"/>
          <w:left w:w="0" w:type="dxa"/>
          <w:bottom w:w="0" w:type="dxa"/>
          <w:right w:w="0" w:type="dxa"/>
        </w:tblCellMar>
      </w:tblPr>
      <w:tr>
        <w:trPr>
          <w:trHeight w:val="253"/>
        </w:trPr>
        <w:tc>
          <w:tcPr>
            <w:tcW w:w="1900" w:type="dxa"/>
            <w:vAlign w:val="bottom"/>
          </w:tcPr>
          <w:p>
            <w:pPr>
              <w:jc w:val="right"/>
              <w:ind w:right="1033"/>
              <w:spacing w:after="0" w:line="253" w:lineRule="exact"/>
              <w:rPr>
                <w:sz w:val="20"/>
                <w:szCs w:val="20"/>
                <w:color w:val="auto"/>
              </w:rPr>
            </w:pPr>
            <w:r>
              <w:rPr>
                <w:rFonts w:ascii="Arial" w:cs="Arial" w:eastAsia="Arial" w:hAnsi="Arial"/>
                <w:sz w:val="24"/>
                <w:szCs w:val="24"/>
                <w:b w:val="1"/>
                <w:bCs w:val="1"/>
                <w:color w:val="B19530"/>
              </w:rPr>
              <w:t>$0.42</w:t>
            </w:r>
          </w:p>
        </w:tc>
        <w:tc>
          <w:tcPr>
            <w:tcW w:w="2800" w:type="dxa"/>
            <w:vAlign w:val="bottom"/>
            <w:vMerge w:val="restart"/>
          </w:tcPr>
          <w:p>
            <w:pPr>
              <w:jc w:val="center"/>
              <w:spacing w:after="0"/>
              <w:rPr>
                <w:sz w:val="20"/>
                <w:szCs w:val="20"/>
                <w:color w:val="auto"/>
              </w:rPr>
            </w:pPr>
            <w:r>
              <w:rPr>
                <w:rFonts w:ascii="Arial" w:cs="Arial" w:eastAsia="Arial" w:hAnsi="Arial"/>
                <w:sz w:val="24"/>
                <w:szCs w:val="24"/>
                <w:b w:val="1"/>
                <w:bCs w:val="1"/>
                <w:color w:val="B19530"/>
                <w:w w:val="98"/>
              </w:rPr>
              <w:t>$17.51</w:t>
            </w:r>
          </w:p>
        </w:tc>
        <w:tc>
          <w:tcPr>
            <w:tcW w:w="2600" w:type="dxa"/>
            <w:vAlign w:val="bottom"/>
          </w:tcPr>
          <w:p>
            <w:pPr>
              <w:jc w:val="right"/>
              <w:ind w:right="813"/>
              <w:spacing w:after="0" w:line="253" w:lineRule="exact"/>
              <w:rPr>
                <w:sz w:val="20"/>
                <w:szCs w:val="20"/>
                <w:color w:val="auto"/>
              </w:rPr>
            </w:pPr>
            <w:r>
              <w:rPr>
                <w:rFonts w:ascii="Arial" w:cs="Arial" w:eastAsia="Arial" w:hAnsi="Arial"/>
                <w:sz w:val="24"/>
                <w:szCs w:val="24"/>
                <w:b w:val="1"/>
                <w:bCs w:val="1"/>
                <w:color w:val="B19530"/>
              </w:rPr>
              <w:t>15%</w:t>
            </w:r>
          </w:p>
        </w:tc>
        <w:tc>
          <w:tcPr>
            <w:tcW w:w="2880" w:type="dxa"/>
            <w:vAlign w:val="bottom"/>
          </w:tcPr>
          <w:p>
            <w:pPr>
              <w:jc w:val="right"/>
              <w:ind w:right="853"/>
              <w:spacing w:after="0" w:line="253" w:lineRule="exact"/>
              <w:rPr>
                <w:sz w:val="20"/>
                <w:szCs w:val="20"/>
                <w:color w:val="auto"/>
              </w:rPr>
            </w:pPr>
            <w:r>
              <w:rPr>
                <w:rFonts w:ascii="Arial" w:cs="Arial" w:eastAsia="Arial" w:hAnsi="Arial"/>
                <w:sz w:val="24"/>
                <w:szCs w:val="24"/>
                <w:b w:val="1"/>
                <w:bCs w:val="1"/>
                <w:color w:val="B19530"/>
              </w:rPr>
              <w:t>11%</w:t>
            </w:r>
          </w:p>
        </w:tc>
        <w:tc>
          <w:tcPr>
            <w:tcW w:w="0" w:type="dxa"/>
            <w:vAlign w:val="bottom"/>
          </w:tcPr>
          <w:p>
            <w:pPr>
              <w:spacing w:after="0"/>
              <w:rPr>
                <w:sz w:val="1"/>
                <w:szCs w:val="1"/>
                <w:color w:val="auto"/>
              </w:rPr>
            </w:pPr>
          </w:p>
        </w:tc>
      </w:tr>
      <w:tr>
        <w:trPr>
          <w:trHeight w:val="142"/>
        </w:trPr>
        <w:tc>
          <w:tcPr>
            <w:tcW w:w="1900" w:type="dxa"/>
            <w:vAlign w:val="bottom"/>
          </w:tcPr>
          <w:p>
            <w:pPr>
              <w:jc w:val="center"/>
              <w:ind w:right="873"/>
              <w:spacing w:after="0"/>
              <w:rPr>
                <w:sz w:val="20"/>
                <w:szCs w:val="20"/>
                <w:color w:val="auto"/>
              </w:rPr>
            </w:pPr>
            <w:r>
              <w:rPr>
                <w:rFonts w:ascii="Arial" w:cs="Arial" w:eastAsia="Arial" w:hAnsi="Arial"/>
                <w:sz w:val="11"/>
                <w:szCs w:val="11"/>
                <w:color w:val="FFFFFF"/>
                <w:w w:val="97"/>
              </w:rPr>
              <w:t>Earnings Per Share</w:t>
            </w:r>
          </w:p>
        </w:tc>
        <w:tc>
          <w:tcPr>
            <w:tcW w:w="2800" w:type="dxa"/>
            <w:vAlign w:val="bottom"/>
            <w:vMerge w:val="continue"/>
          </w:tcPr>
          <w:p>
            <w:pPr>
              <w:spacing w:after="0"/>
              <w:rPr>
                <w:sz w:val="12"/>
                <w:szCs w:val="12"/>
                <w:color w:val="auto"/>
              </w:rPr>
            </w:pPr>
          </w:p>
        </w:tc>
        <w:tc>
          <w:tcPr>
            <w:tcW w:w="2600" w:type="dxa"/>
            <w:vAlign w:val="bottom"/>
          </w:tcPr>
          <w:p>
            <w:pPr>
              <w:jc w:val="center"/>
              <w:ind w:left="253"/>
              <w:spacing w:after="0"/>
              <w:rPr>
                <w:sz w:val="20"/>
                <w:szCs w:val="20"/>
                <w:color w:val="auto"/>
              </w:rPr>
            </w:pPr>
            <w:r>
              <w:rPr>
                <w:rFonts w:ascii="Arial" w:cs="Arial" w:eastAsia="Arial" w:hAnsi="Arial"/>
                <w:sz w:val="11"/>
                <w:szCs w:val="11"/>
                <w:color w:val="FFFFFF"/>
                <w:w w:val="97"/>
              </w:rPr>
              <w:t>Loan Annualized Growth</w:t>
            </w:r>
          </w:p>
        </w:tc>
        <w:tc>
          <w:tcPr>
            <w:tcW w:w="2880" w:type="dxa"/>
            <w:vAlign w:val="bottom"/>
            <w:vMerge w:val="restart"/>
          </w:tcPr>
          <w:p>
            <w:pPr>
              <w:jc w:val="center"/>
              <w:ind w:left="453"/>
              <w:spacing w:after="0"/>
              <w:rPr>
                <w:sz w:val="20"/>
                <w:szCs w:val="20"/>
                <w:color w:val="auto"/>
              </w:rPr>
            </w:pPr>
            <w:r>
              <w:rPr>
                <w:rFonts w:ascii="Arial" w:cs="Arial" w:eastAsia="Arial" w:hAnsi="Arial"/>
                <w:sz w:val="11"/>
                <w:szCs w:val="11"/>
                <w:color w:val="FFFFFF"/>
                <w:w w:val="98"/>
              </w:rPr>
              <w:t>Noninterest-bearing Deposits Annualized Growth</w:t>
            </w:r>
          </w:p>
        </w:tc>
        <w:tc>
          <w:tcPr>
            <w:tcW w:w="0" w:type="dxa"/>
            <w:vAlign w:val="bottom"/>
          </w:tcPr>
          <w:p>
            <w:pPr>
              <w:spacing w:after="0"/>
              <w:rPr>
                <w:sz w:val="1"/>
                <w:szCs w:val="1"/>
                <w:color w:val="auto"/>
              </w:rPr>
            </w:pPr>
          </w:p>
        </w:tc>
      </w:tr>
      <w:tr>
        <w:trPr>
          <w:trHeight w:val="48"/>
        </w:trPr>
        <w:tc>
          <w:tcPr>
            <w:tcW w:w="190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260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2800" w:type="dxa"/>
            <w:vAlign w:val="bottom"/>
          </w:tcPr>
          <w:p>
            <w:pPr>
              <w:jc w:val="center"/>
              <w:spacing w:after="0" w:line="108" w:lineRule="exact"/>
              <w:rPr>
                <w:sz w:val="20"/>
                <w:szCs w:val="20"/>
                <w:color w:val="auto"/>
              </w:rPr>
            </w:pPr>
            <w:r>
              <w:rPr>
                <w:rFonts w:ascii="Arial" w:cs="Arial" w:eastAsia="Arial" w:hAnsi="Arial"/>
                <w:sz w:val="11"/>
                <w:szCs w:val="11"/>
                <w:color w:val="FFFFFF"/>
                <w:w w:val="96"/>
              </w:rPr>
              <w:t>Tangible Book Value</w:t>
            </w:r>
          </w:p>
        </w:tc>
        <w:tc>
          <w:tcPr>
            <w:tcW w:w="26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Arial" w:cs="Arial" w:eastAsia="Arial" w:hAnsi="Arial"/>
                <w:sz w:val="11"/>
                <w:szCs w:val="11"/>
                <w:color w:val="FFFFFF"/>
                <w:w w:val="91"/>
              </w:rPr>
              <w:t>Per Share</w:t>
            </w:r>
            <w:r>
              <w:rPr>
                <w:rFonts w:ascii="Arial" w:cs="Arial" w:eastAsia="Arial" w:hAnsi="Arial"/>
                <w:sz w:val="14"/>
                <w:szCs w:val="14"/>
                <w:color w:val="FFFFFF"/>
                <w:w w:val="91"/>
                <w:vertAlign w:val="superscript"/>
              </w:rPr>
              <w:t>(1)</w:t>
            </w:r>
          </w:p>
        </w:tc>
        <w:tc>
          <w:tcPr>
            <w:tcW w:w="26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
        <w:spacing w:after="0" w:line="263" w:lineRule="auto"/>
        <w:rPr>
          <w:sz w:val="20"/>
          <w:szCs w:val="20"/>
          <w:color w:val="auto"/>
        </w:rPr>
      </w:pPr>
      <w:r>
        <w:rPr>
          <w:rFonts w:ascii="Arial" w:cs="Arial" w:eastAsia="Arial" w:hAnsi="Arial"/>
          <w:sz w:val="12"/>
          <w:szCs w:val="12"/>
          <w:color w:val="auto"/>
        </w:rPr>
        <w:t>LOS ANGELES, Calif.--(BUSINESS WIRE)--Banc of California, Inc. (NYSE: BANC) (“Banc of California” or the “Company”), the parent company of wholly-owned subsidiary Banc of California (the “Bank”), today reported financial results for the fourth quarter and year ended December 31, 2025. The Company reported net earnings available to common and equivalent stockholders of $67.4 million, or $0.42 per diluted common share, for the fourth quarter of 2025, compared to $59.7 million, or $0.38 per diluted common share for the third quarter of 2025. For the full year 2025, net earnings available to common and equivalent stockholders of $189.2 million, or $1.17 per diluted common share, compared to $87.1 million, or $0.52 per diluted common share for the full year 2024. On an adjusted basis, net earnings available to common and equivalent stockholders of $218.2 million, or $1.35 per diluted common share, compared to $135.4 million, or $0.80 per diluted common share for the full year 2024.</w:t>
      </w:r>
      <w:r>
        <w:rPr>
          <w:rFonts w:ascii="Arial" w:cs="Arial" w:eastAsia="Arial" w:hAnsi="Arial"/>
          <w:sz w:val="15"/>
          <w:szCs w:val="15"/>
          <w:color w:val="auto"/>
          <w:vertAlign w:val="superscript"/>
        </w:rPr>
        <w:t>(1)</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Fourth Quarter and Full Year 2025 Financial Highlights:</w:t>
      </w:r>
    </w:p>
    <w:p>
      <w:pPr>
        <w:spacing w:after="0" w:line="69" w:lineRule="exact"/>
        <w:rPr>
          <w:sz w:val="20"/>
          <w:szCs w:val="20"/>
          <w:color w:val="auto"/>
        </w:rPr>
      </w:pPr>
    </w:p>
    <w:p>
      <w:pPr>
        <w:ind w:left="168" w:hanging="168"/>
        <w:spacing w:after="0"/>
        <w:tabs>
          <w:tab w:leader="none" w:pos="16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Total loans and leases of $25.2 billion increased by 15% for the quarter annualized </w:t>
      </w:r>
      <w:r>
        <w:rPr>
          <w:rFonts w:ascii="Arial" w:cs="Arial" w:eastAsia="Arial" w:hAnsi="Arial"/>
          <w:sz w:val="12"/>
          <w:szCs w:val="12"/>
          <w:color w:val="auto"/>
        </w:rPr>
        <w:t>and 6% year over year.</w:t>
      </w:r>
    </w:p>
    <w:p>
      <w:pPr>
        <w:spacing w:after="0" w:line="26" w:lineRule="exact"/>
        <w:rPr>
          <w:rFonts w:ascii="Arial" w:cs="Arial" w:eastAsia="Arial" w:hAnsi="Arial"/>
          <w:sz w:val="12"/>
          <w:szCs w:val="12"/>
          <w:b w:val="1"/>
          <w:bCs w:val="1"/>
          <w:color w:val="auto"/>
        </w:rPr>
      </w:pPr>
    </w:p>
    <w:p>
      <w:pPr>
        <w:ind w:left="168" w:right="120" w:hanging="168"/>
        <w:spacing w:after="0" w:line="248"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Fourth quarter loan production and disbursements totaled $2.7 billion </w:t>
      </w:r>
      <w:r>
        <w:rPr>
          <w:rFonts w:ascii="Arial" w:cs="Arial" w:eastAsia="Arial" w:hAnsi="Arial"/>
          <w:sz w:val="12"/>
          <w:szCs w:val="12"/>
          <w:color w:val="auto"/>
        </w:rPr>
        <w:t>with a weighted average interest rate on production of 6.83%, and heavily concentrated toward the end of the quarter. Full year loan</w:t>
      </w:r>
      <w:r>
        <w:rPr>
          <w:rFonts w:ascii="Arial" w:cs="Arial" w:eastAsia="Arial" w:hAnsi="Arial"/>
          <w:sz w:val="12"/>
          <w:szCs w:val="12"/>
          <w:b w:val="1"/>
          <w:bCs w:val="1"/>
          <w:color w:val="auto"/>
        </w:rPr>
        <w:t xml:space="preserve"> </w:t>
      </w:r>
      <w:r>
        <w:rPr>
          <w:rFonts w:ascii="Arial" w:cs="Arial" w:eastAsia="Arial" w:hAnsi="Arial"/>
          <w:sz w:val="12"/>
          <w:szCs w:val="12"/>
          <w:color w:val="auto"/>
        </w:rPr>
        <w:t>production and disbursements of $9.6 billion, up 31% year over year.</w:t>
      </w:r>
    </w:p>
    <w:p>
      <w:pPr>
        <w:ind w:left="168" w:hanging="168"/>
        <w:spacing w:after="0"/>
        <w:tabs>
          <w:tab w:leader="none" w:pos="16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Noninterest-bearing deposits of $7.8 billion increased by 11% annualized </w:t>
      </w:r>
      <w:r>
        <w:rPr>
          <w:rFonts w:ascii="Arial" w:cs="Arial" w:eastAsia="Arial" w:hAnsi="Arial"/>
          <w:sz w:val="12"/>
          <w:szCs w:val="12"/>
          <w:color w:val="auto"/>
        </w:rPr>
        <w:t>from 3Q25, representing 28% of total deposits.</w:t>
      </w:r>
    </w:p>
    <w:p>
      <w:pPr>
        <w:spacing w:after="0" w:line="33" w:lineRule="exact"/>
        <w:rPr>
          <w:rFonts w:ascii="Arial" w:cs="Arial" w:eastAsia="Arial" w:hAnsi="Arial"/>
          <w:sz w:val="12"/>
          <w:szCs w:val="12"/>
          <w:b w:val="1"/>
          <w:bCs w:val="1"/>
          <w:color w:val="auto"/>
        </w:rPr>
      </w:pPr>
    </w:p>
    <w:p>
      <w:pPr>
        <w:ind w:left="168" w:right="20" w:hanging="168"/>
        <w:spacing w:after="0" w:line="239"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interest margin of 3.20% for the quarter, and 3.15% for the year reflecting a 30 basis point expansion year over year</w:t>
      </w:r>
      <w:r>
        <w:rPr>
          <w:rFonts w:ascii="Arial" w:cs="Arial" w:eastAsia="Arial" w:hAnsi="Arial"/>
          <w:sz w:val="12"/>
          <w:szCs w:val="12"/>
          <w:color w:val="auto"/>
        </w:rPr>
        <w:t>, driven by improved funding mix and lower deposit costs. Late fourth quarter loan</w:t>
      </w:r>
      <w:r>
        <w:rPr>
          <w:rFonts w:ascii="Arial" w:cs="Arial" w:eastAsia="Arial" w:hAnsi="Arial"/>
          <w:sz w:val="12"/>
          <w:szCs w:val="12"/>
          <w:b w:val="1"/>
          <w:bCs w:val="1"/>
          <w:color w:val="auto"/>
        </w:rPr>
        <w:t xml:space="preserve"> </w:t>
      </w:r>
      <w:r>
        <w:rPr>
          <w:rFonts w:ascii="Arial" w:cs="Arial" w:eastAsia="Arial" w:hAnsi="Arial"/>
          <w:sz w:val="12"/>
          <w:szCs w:val="12"/>
          <w:color w:val="auto"/>
        </w:rPr>
        <w:t>production will have a full quarter benefit to net interest income in 1Q26.</w:t>
      </w:r>
    </w:p>
    <w:p>
      <w:pPr>
        <w:spacing w:after="0" w:line="10" w:lineRule="exact"/>
        <w:rPr>
          <w:rFonts w:ascii="Arial" w:cs="Arial" w:eastAsia="Arial" w:hAnsi="Arial"/>
          <w:sz w:val="12"/>
          <w:szCs w:val="12"/>
          <w:color w:val="auto"/>
        </w:rPr>
      </w:pPr>
    </w:p>
    <w:p>
      <w:pPr>
        <w:ind w:left="168" w:hanging="168"/>
        <w:spacing w:after="0"/>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Total revenue of $292.9 million increased over 2% and pre-tax pre-provision income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$112.3 million increased 10% </w:t>
      </w:r>
      <w:r>
        <w:rPr>
          <w:rFonts w:ascii="Arial" w:cs="Arial" w:eastAsia="Arial" w:hAnsi="Arial"/>
          <w:sz w:val="12"/>
          <w:szCs w:val="12"/>
          <w:color w:val="auto"/>
        </w:rPr>
        <w:t>from 3Q25 reflecting improved operating leverage.</w:t>
      </w:r>
    </w:p>
    <w:p>
      <w:pPr>
        <w:spacing w:after="0" w:line="13" w:lineRule="exact"/>
        <w:rPr>
          <w:rFonts w:ascii="Arial" w:cs="Arial" w:eastAsia="Arial" w:hAnsi="Arial"/>
          <w:sz w:val="12"/>
          <w:szCs w:val="12"/>
          <w:color w:val="auto"/>
        </w:rPr>
      </w:pPr>
    </w:p>
    <w:p>
      <w:pPr>
        <w:ind w:left="168" w:hanging="168"/>
        <w:spacing w:after="0" w:line="225" w:lineRule="auto"/>
        <w:tabs>
          <w:tab w:leader="none" w:pos="16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Noninterest expenses of $180.6 million decreased by $5.0 million </w:t>
      </w:r>
      <w:r>
        <w:rPr>
          <w:rFonts w:ascii="Arial" w:cs="Arial" w:eastAsia="Arial" w:hAnsi="Arial"/>
          <w:sz w:val="12"/>
          <w:szCs w:val="12"/>
          <w:color w:val="auto"/>
        </w:rPr>
        <w:t>from 3Q25 contributing to an efficiency ratio</w:t>
      </w:r>
      <w:r>
        <w:rPr>
          <w:rFonts w:ascii="Arial" w:cs="Arial" w:eastAsia="Arial" w:hAnsi="Arial"/>
          <w:sz w:val="15"/>
          <w:szCs w:val="15"/>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12"/>
          <w:szCs w:val="12"/>
          <w:color w:val="auto"/>
        </w:rPr>
        <w:t>decrease to 59.35% from 62.05% in 3Q25.</w:t>
      </w:r>
    </w:p>
    <w:p>
      <w:pPr>
        <w:ind w:left="168" w:right="60" w:hanging="168"/>
        <w:spacing w:after="0" w:line="225" w:lineRule="auto"/>
        <w:tabs>
          <w:tab w:leader="none" w:pos="163"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Credit quality metrics stable </w:t>
      </w:r>
      <w:r>
        <w:rPr>
          <w:rFonts w:ascii="Arial" w:cs="Arial" w:eastAsia="Arial" w:hAnsi="Arial"/>
          <w:sz w:val="12"/>
          <w:szCs w:val="12"/>
          <w:color w:val="auto"/>
        </w:rPr>
        <w:t>with quarter-over-quarter reductions in nonperforming, criticized, and special mention loans and leases, as a percentage of total loans and leases held for investment, of 8 basis</w:t>
      </w:r>
      <w:r>
        <w:rPr>
          <w:rFonts w:ascii="Arial" w:cs="Arial" w:eastAsia="Arial" w:hAnsi="Arial"/>
          <w:sz w:val="12"/>
          <w:szCs w:val="12"/>
          <w:b w:val="1"/>
          <w:bCs w:val="1"/>
          <w:color w:val="auto"/>
        </w:rPr>
        <w:t xml:space="preserve"> </w:t>
      </w:r>
      <w:r>
        <w:rPr>
          <w:rFonts w:ascii="Arial" w:cs="Arial" w:eastAsia="Arial" w:hAnsi="Arial"/>
          <w:sz w:val="12"/>
          <w:szCs w:val="12"/>
          <w:color w:val="auto"/>
        </w:rPr>
        <w:t>points, 24 basis points, and 27 basis points, respectively. On a year-over-year basis, there were reductions in nonperforming, criticized, and special mention loans and leases, as a percentage of total loans and leases held for investment, of 16 basis points, 195 basis points, and 278 basis points, respectively.</w:t>
      </w:r>
    </w:p>
    <w:p>
      <w:pPr>
        <w:spacing w:after="0" w:line="10" w:lineRule="exact"/>
        <w:rPr>
          <w:rFonts w:ascii="Arial" w:cs="Arial" w:eastAsia="Arial" w:hAnsi="Arial"/>
          <w:sz w:val="12"/>
          <w:szCs w:val="12"/>
          <w:b w:val="1"/>
          <w:bCs w:val="1"/>
          <w:color w:val="auto"/>
        </w:rPr>
      </w:pPr>
    </w:p>
    <w:p>
      <w:pPr>
        <w:ind w:left="168" w:right="200" w:hanging="168"/>
        <w:spacing w:after="0" w:line="219" w:lineRule="auto"/>
        <w:tabs>
          <w:tab w:leader="none" w:pos="163"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Stable capital ratios</w:t>
      </w:r>
      <w:r>
        <w:rPr>
          <w:rFonts w:ascii="Arial" w:cs="Arial" w:eastAsia="Arial" w:hAnsi="Arial"/>
          <w:sz w:val="15"/>
          <w:szCs w:val="15"/>
          <w:b w:val="1"/>
          <w:bCs w:val="1"/>
          <w:color w:val="auto"/>
          <w:vertAlign w:val="superscript"/>
        </w:rPr>
        <w:t>(2)</w:t>
      </w:r>
      <w:r>
        <w:rPr>
          <w:rFonts w:ascii="Arial" w:cs="Arial" w:eastAsia="Arial" w:hAnsi="Arial"/>
          <w:sz w:val="12"/>
          <w:szCs w:val="12"/>
          <w:b w:val="1"/>
          <w:bCs w:val="1"/>
          <w:color w:val="auto"/>
        </w:rPr>
        <w:t xml:space="preserve"> well above the regulatory thresholds for "well capitalized" banks</w:t>
      </w:r>
      <w:r>
        <w:rPr>
          <w:rFonts w:ascii="Arial" w:cs="Arial" w:eastAsia="Arial" w:hAnsi="Arial"/>
          <w:sz w:val="12"/>
          <w:szCs w:val="12"/>
          <w:color w:val="auto"/>
        </w:rPr>
        <w:t>, including an estimated 12.34% Tier 1 capital ratio and 10.01% CET 1 capital ratio and continued growth in book</w:t>
      </w:r>
      <w:r>
        <w:rPr>
          <w:rFonts w:ascii="Arial" w:cs="Arial" w:eastAsia="Arial" w:hAnsi="Arial"/>
          <w:sz w:val="12"/>
          <w:szCs w:val="12"/>
          <w:b w:val="1"/>
          <w:bCs w:val="1"/>
          <w:color w:val="auto"/>
        </w:rPr>
        <w:t xml:space="preserve"> </w:t>
      </w:r>
      <w:r>
        <w:rPr>
          <w:rFonts w:ascii="Arial" w:cs="Arial" w:eastAsia="Arial" w:hAnsi="Arial"/>
          <w:sz w:val="12"/>
          <w:szCs w:val="12"/>
          <w:color w:val="auto"/>
        </w:rPr>
        <w:t>value per share to $19.56, up 2% vs 3Q25, and tangible book value per share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to $17.51, up 3% vs 3Q25.</w:t>
      </w:r>
    </w:p>
    <w:p>
      <w:pPr>
        <w:ind w:left="428" w:hanging="212"/>
        <w:spacing w:after="0" w:line="225" w:lineRule="auto"/>
        <w:tabs>
          <w:tab w:leader="none" w:pos="428" w:val="left"/>
        </w:tabs>
        <w:numPr>
          <w:ilvl w:val="1"/>
          <w:numId w:val="2"/>
        </w:numPr>
        <w:rPr>
          <w:rFonts w:ascii="Arial" w:cs="Arial" w:eastAsia="Arial" w:hAnsi="Arial"/>
          <w:sz w:val="10"/>
          <w:szCs w:val="10"/>
          <w:i w:val="1"/>
          <w:iCs w:val="1"/>
          <w:color w:val="6D6D6D"/>
        </w:rPr>
      </w:pPr>
      <w:r>
        <w:rPr>
          <w:rFonts w:ascii="Arial" w:cs="Arial" w:eastAsia="Arial" w:hAnsi="Arial"/>
          <w:sz w:val="10"/>
          <w:szCs w:val="10"/>
          <w:i w:val="1"/>
          <w:iCs w:val="1"/>
          <w:color w:val="6D6D6D"/>
        </w:rPr>
        <w:t>Non-GAAP measure; refer to section 'Non-GAAP Measures'</w:t>
      </w:r>
    </w:p>
    <w:p>
      <w:pPr>
        <w:ind w:left="428" w:hanging="212"/>
        <w:spacing w:after="0"/>
        <w:tabs>
          <w:tab w:leader="none" w:pos="428" w:val="left"/>
        </w:tabs>
        <w:numPr>
          <w:ilvl w:val="1"/>
          <w:numId w:val="2"/>
        </w:numPr>
        <w:rPr>
          <w:rFonts w:ascii="Arial" w:cs="Arial" w:eastAsia="Arial" w:hAnsi="Arial"/>
          <w:sz w:val="10"/>
          <w:szCs w:val="10"/>
          <w:i w:val="1"/>
          <w:iCs w:val="1"/>
          <w:color w:val="6D6D6D"/>
        </w:rPr>
      </w:pPr>
      <w:r>
        <w:rPr>
          <w:rFonts w:ascii="Arial" w:cs="Arial" w:eastAsia="Arial" w:hAnsi="Arial"/>
          <w:sz w:val="10"/>
          <w:szCs w:val="10"/>
          <w:i w:val="1"/>
          <w:iCs w:val="1"/>
          <w:color w:val="6D6D6D"/>
        </w:rPr>
        <w:t>Capital ratios for December 31, 2025 are preliminary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462280</wp:posOffset>
            </wp:positionV>
            <wp:extent cx="54864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1</w:t>
      </w:r>
    </w:p>
    <w:p>
      <w:pPr>
        <w:sectPr>
          <w:pgSz w:w="11900" w:h="16838" w:orient="portrait"/>
          <w:cols w:equalWidth="0" w:num="1">
            <w:col w:w="11288"/>
          </w:cols>
          <w:pgMar w:left="292" w:top="1440" w:right="319" w:bottom="1440" w:gutter="0" w:footer="0" w:header="0"/>
          <w:type w:val="continuous"/>
        </w:sectPr>
      </w:pPr>
    </w:p>
    <w:bookmarkStart w:id="5" w:name="page6"/>
    <w:bookmarkEnd w:id="5"/>
    <w:p>
      <w:pPr>
        <w:ind w:right="2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Jared Wolff, Chairman &amp; CEO of Banc of California, commented, “Our fourth quarter results capped a year of strong execution, reflect the continued momentum of our core earnings engine, and validate our ongoing business strategy. During the quarter we delivered double-digit annualized loan and noninterest-bearing deposit growth, and achieved double-digit return on average tangible common equity, all while maintaining disciplined expense management and stable credit quality. These results underscore the strength of our franchise and our ability to consistently deliver profitable growth.”</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Mr. Wolff continued, “Throughout 2025, we made significant progress scaling our franchise, strengthening our balance sheet, and improving our core profitability drivers. We grew operating leverage, improved credit metrics, and delivered a meaningful increase in tangible book value per share while opportunistically returning capital to shareholders. As we look ahead into 2026, we believe we are well positioned to continue building on this momentum. Our fourth quarter loan growth came later in the quarter, which should provide a tailwind for the first quarter 2026. With our strong market position, talented teams, and continued execution, we expect 2026 to be another strong year for Banc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3654425</wp:posOffset>
            </wp:positionV>
            <wp:extent cx="548640"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2</w:t>
      </w:r>
    </w:p>
    <w:p>
      <w:pPr>
        <w:sectPr>
          <w:pgSz w:w="11900" w:h="16838" w:orient="portrait"/>
          <w:cols w:equalWidth="0" w:num="1">
            <w:col w:w="10980"/>
          </w:cols>
          <w:pgMar w:left="300" w:top="802" w:right="61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color w:val="001B2C"/>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INCOME STATEMENT HIGHLIGHTS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13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Three Months Ended</w:t>
            </w: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gridSpan w:val="3"/>
          </w:tcPr>
          <w:p>
            <w:pPr>
              <w:jc w:val="right"/>
              <w:ind w:right="152"/>
              <w:spacing w:after="0"/>
              <w:rPr>
                <w:sz w:val="20"/>
                <w:szCs w:val="20"/>
                <w:color w:val="auto"/>
              </w:rPr>
            </w:pPr>
            <w:r>
              <w:rPr>
                <w:rFonts w:ascii="Arial" w:cs="Arial" w:eastAsia="Arial" w:hAnsi="Arial"/>
                <w:sz w:val="10"/>
                <w:szCs w:val="10"/>
                <w:b w:val="1"/>
                <w:bCs w:val="1"/>
                <w:color w:val="auto"/>
              </w:rPr>
              <w:t>Year Ended</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September 30,</w:t>
            </w:r>
          </w:p>
        </w:tc>
        <w:tc>
          <w:tcPr>
            <w:tcW w:w="220" w:type="dxa"/>
            <w:vAlign w:val="bottom"/>
          </w:tcPr>
          <w:p>
            <w:pPr>
              <w:spacing w:after="0"/>
              <w:rPr>
                <w:sz w:val="10"/>
                <w:szCs w:val="1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December 31,</w:t>
            </w:r>
          </w:p>
        </w:tc>
        <w:tc>
          <w:tcPr>
            <w:tcW w:w="3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rPr>
              <w:t>December 31,</w:t>
            </w: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82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Summary Income Statement</w:t>
            </w:r>
          </w:p>
        </w:tc>
        <w:tc>
          <w:tcPr>
            <w:tcW w:w="1040" w:type="dxa"/>
            <w:vAlign w:val="bottom"/>
          </w:tcPr>
          <w:p>
            <w:pPr>
              <w:jc w:val="right"/>
              <w:ind w:right="172"/>
              <w:spacing w:after="0" w:line="99" w:lineRule="exact"/>
              <w:rPr>
                <w:sz w:val="20"/>
                <w:szCs w:val="20"/>
                <w:color w:val="auto"/>
              </w:rPr>
            </w:pPr>
            <w:r>
              <w:rPr>
                <w:rFonts w:ascii="Arial" w:cs="Arial" w:eastAsia="Arial" w:hAnsi="Arial"/>
                <w:sz w:val="10"/>
                <w:szCs w:val="10"/>
                <w:b w:val="1"/>
                <w:bCs w:val="1"/>
                <w:color w:val="auto"/>
              </w:rPr>
              <w:t>2025</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98"/>
              </w:rPr>
              <w:t>2025</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jc w:val="right"/>
              <w:ind w:right="552"/>
              <w:spacing w:after="0" w:line="99" w:lineRule="exact"/>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jc w:val="right"/>
              <w:ind w:right="572"/>
              <w:spacing w:after="0" w:line="99" w:lineRule="exact"/>
              <w:rPr>
                <w:sz w:val="20"/>
                <w:szCs w:val="20"/>
                <w:color w:val="auto"/>
              </w:rPr>
            </w:pPr>
            <w:r>
              <w:rPr>
                <w:rFonts w:ascii="Arial" w:cs="Arial" w:eastAsia="Arial" w:hAnsi="Arial"/>
                <w:sz w:val="10"/>
                <w:szCs w:val="10"/>
                <w:b w:val="1"/>
                <w:bCs w:val="1"/>
                <w:color w:val="auto"/>
              </w:rPr>
              <w:t>2025</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jc w:val="right"/>
              <w:ind w:right="572"/>
              <w:spacing w:after="0" w:line="99" w:lineRule="exact"/>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tcPr>
          <w:p>
            <w:pPr>
              <w:jc w:val="right"/>
              <w:ind w:right="480"/>
              <w:spacing w:after="0" w:line="109" w:lineRule="exact"/>
              <w:rPr>
                <w:sz w:val="20"/>
                <w:szCs w:val="20"/>
                <w:color w:val="auto"/>
              </w:rPr>
            </w:pPr>
            <w:r>
              <w:rPr>
                <w:rFonts w:ascii="Arial" w:cs="Arial" w:eastAsia="Arial" w:hAnsi="Arial"/>
                <w:sz w:val="10"/>
                <w:szCs w:val="10"/>
                <w:b w:val="1"/>
                <w:bCs w:val="1"/>
                <w:i w:val="1"/>
                <w:iCs w:val="1"/>
                <w:color w:val="auto"/>
              </w:rPr>
              <w:t>(In thousands)</w:t>
            </w: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820" w:type="dxa"/>
            <w:vAlign w:val="bottom"/>
            <w:gridSpan w:val="2"/>
          </w:tcPr>
          <w:p>
            <w:pPr>
              <w:spacing w:after="0"/>
              <w:rPr>
                <w:sz w:val="20"/>
                <w:szCs w:val="20"/>
                <w:color w:val="auto"/>
              </w:rPr>
            </w:pPr>
            <w:r>
              <w:rPr>
                <w:rFonts w:ascii="Arial" w:cs="Arial" w:eastAsia="Arial" w:hAnsi="Arial"/>
                <w:sz w:val="10"/>
                <w:szCs w:val="10"/>
                <w:color w:val="auto"/>
              </w:rPr>
              <w:t>Total interest income</w:t>
            </w:r>
          </w:p>
        </w:tc>
        <w:tc>
          <w:tcPr>
            <w:tcW w:w="1040" w:type="dxa"/>
            <w:vAlign w:val="bottom"/>
          </w:tcPr>
          <w:p>
            <w:pPr>
              <w:jc w:val="right"/>
              <w:ind w:right="93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0"/>
                <w:szCs w:val="10"/>
                <w:color w:val="auto"/>
                <w:w w:val="88"/>
              </w:rPr>
              <w:t>416,948</w:t>
            </w:r>
          </w:p>
        </w:tc>
        <w:tc>
          <w:tcPr>
            <w:tcW w:w="10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432,541</w:t>
            </w:r>
          </w:p>
        </w:tc>
        <w:tc>
          <w:tcPr>
            <w:tcW w:w="10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424,519</w:t>
            </w:r>
          </w:p>
        </w:tc>
        <w:tc>
          <w:tcPr>
            <w:tcW w:w="80" w:type="dxa"/>
            <w:vAlign w:val="bottom"/>
          </w:tcPr>
          <w:p>
            <w:pPr>
              <w:spacing w:after="0"/>
              <w:rPr>
                <w:sz w:val="11"/>
                <w:szCs w:val="11"/>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1,676,653</w:t>
            </w:r>
          </w:p>
        </w:tc>
        <w:tc>
          <w:tcPr>
            <w:tcW w:w="60" w:type="dxa"/>
            <w:vAlign w:val="bottom"/>
          </w:tcPr>
          <w:p>
            <w:pPr>
              <w:spacing w:after="0"/>
              <w:rPr>
                <w:sz w:val="11"/>
                <w:szCs w:val="11"/>
                <w:color w:val="auto"/>
              </w:rPr>
            </w:pPr>
          </w:p>
        </w:tc>
        <w:tc>
          <w:tcPr>
            <w:tcW w:w="4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1,812,705</w:t>
            </w: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rPr>
                <w:sz w:val="20"/>
                <w:szCs w:val="20"/>
                <w:color w:val="auto"/>
              </w:rPr>
            </w:pPr>
            <w:r>
              <w:rPr>
                <w:rFonts w:ascii="Arial" w:cs="Arial" w:eastAsia="Arial" w:hAnsi="Arial"/>
                <w:sz w:val="10"/>
                <w:szCs w:val="10"/>
                <w:color w:val="auto"/>
              </w:rPr>
              <w:t>Total interest expense</w:t>
            </w: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8"/>
              </w:rPr>
              <w:t>165,586</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179,097</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189,234</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699,267</w:t>
            </w: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886,655</w:t>
            </w:r>
          </w:p>
        </w:tc>
        <w:tc>
          <w:tcPr>
            <w:tcW w:w="0" w:type="dxa"/>
            <w:vAlign w:val="bottom"/>
          </w:tcPr>
          <w:p>
            <w:pPr>
              <w:spacing w:after="0"/>
              <w:rPr>
                <w:sz w:val="1"/>
                <w:szCs w:val="1"/>
                <w:color w:val="auto"/>
              </w:rPr>
            </w:pPr>
          </w:p>
        </w:tc>
      </w:tr>
      <w:tr>
        <w:trPr>
          <w:trHeight w:val="124"/>
        </w:trPr>
        <w:tc>
          <w:tcPr>
            <w:tcW w:w="3820" w:type="dxa"/>
            <w:vAlign w:val="bottom"/>
            <w:gridSpan w:val="2"/>
          </w:tcPr>
          <w:p>
            <w:pPr>
              <w:ind w:left="140"/>
              <w:spacing w:after="0"/>
              <w:rPr>
                <w:sz w:val="20"/>
                <w:szCs w:val="20"/>
                <w:color w:val="auto"/>
              </w:rPr>
            </w:pPr>
            <w:r>
              <w:rPr>
                <w:rFonts w:ascii="Arial" w:cs="Arial" w:eastAsia="Arial" w:hAnsi="Arial"/>
                <w:sz w:val="10"/>
                <w:szCs w:val="10"/>
                <w:color w:val="auto"/>
              </w:rPr>
              <w:t>Net interest income</w:t>
            </w:r>
          </w:p>
        </w:tc>
        <w:tc>
          <w:tcPr>
            <w:tcW w:w="10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8"/>
              </w:rPr>
              <w:t>251,362</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253,444</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235,285</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977,386</w:t>
            </w:r>
          </w:p>
        </w:tc>
        <w:tc>
          <w:tcPr>
            <w:tcW w:w="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926,050</w:t>
            </w:r>
          </w:p>
        </w:tc>
        <w:tc>
          <w:tcPr>
            <w:tcW w:w="0" w:type="dxa"/>
            <w:vAlign w:val="bottom"/>
          </w:tcPr>
          <w:p>
            <w:pPr>
              <w:spacing w:after="0"/>
              <w:rPr>
                <w:sz w:val="1"/>
                <w:szCs w:val="1"/>
                <w:color w:val="auto"/>
              </w:rPr>
            </w:pPr>
          </w:p>
        </w:tc>
      </w:tr>
      <w:tr>
        <w:trPr>
          <w:trHeight w:val="124"/>
        </w:trPr>
        <w:tc>
          <w:tcPr>
            <w:tcW w:w="382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0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12,500</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9,700</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12,801</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70,600</w:t>
            </w:r>
          </w:p>
        </w:tc>
        <w:tc>
          <w:tcPr>
            <w:tcW w:w="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42,801</w:t>
            </w:r>
          </w:p>
        </w:tc>
        <w:tc>
          <w:tcPr>
            <w:tcW w:w="0" w:type="dxa"/>
            <w:vAlign w:val="bottom"/>
          </w:tcPr>
          <w:p>
            <w:pPr>
              <w:spacing w:after="0"/>
              <w:rPr>
                <w:sz w:val="1"/>
                <w:szCs w:val="1"/>
                <w:color w:val="auto"/>
              </w:rPr>
            </w:pPr>
          </w:p>
        </w:tc>
      </w:tr>
      <w:tr>
        <w:trPr>
          <w:trHeight w:val="124"/>
        </w:trPr>
        <w:tc>
          <w:tcPr>
            <w:tcW w:w="3820" w:type="dxa"/>
            <w:vAlign w:val="bottom"/>
            <w:gridSpan w:val="2"/>
          </w:tcPr>
          <w:p>
            <w:pPr>
              <w:ind w:left="140"/>
              <w:spacing w:after="0"/>
              <w:rPr>
                <w:sz w:val="20"/>
                <w:szCs w:val="20"/>
                <w:color w:val="auto"/>
              </w:rPr>
            </w:pPr>
            <w:r>
              <w:rPr>
                <w:rFonts w:ascii="Arial" w:cs="Arial" w:eastAsia="Arial" w:hAnsi="Arial"/>
                <w:sz w:val="10"/>
                <w:szCs w:val="10"/>
                <w:color w:val="auto"/>
              </w:rPr>
              <w:t>Gain (loss) on sale of loans</w:t>
            </w:r>
          </w:p>
        </w:tc>
        <w:tc>
          <w:tcPr>
            <w:tcW w:w="10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(374)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(115)</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645</w:t>
            </w:r>
          </w:p>
        </w:tc>
        <w:tc>
          <w:tcPr>
            <w:tcW w:w="0" w:type="dxa"/>
            <w:vAlign w:val="bottom"/>
          </w:tcPr>
          <w:p>
            <w:pPr>
              <w:spacing w:after="0"/>
              <w:rPr>
                <w:sz w:val="1"/>
                <w:szCs w:val="1"/>
                <w:color w:val="auto"/>
              </w:rPr>
            </w:pPr>
          </w:p>
        </w:tc>
      </w:tr>
      <w:tr>
        <w:trPr>
          <w:trHeight w:val="135"/>
        </w:trPr>
        <w:tc>
          <w:tcPr>
            <w:tcW w:w="3820" w:type="dxa"/>
            <w:vAlign w:val="bottom"/>
            <w:gridSpan w:val="2"/>
          </w:tcPr>
          <w:p>
            <w:pPr>
              <w:ind w:left="140"/>
              <w:spacing w:after="0"/>
              <w:rPr>
                <w:sz w:val="20"/>
                <w:szCs w:val="20"/>
                <w:color w:val="auto"/>
              </w:rPr>
            </w:pPr>
            <w:r>
              <w:rPr>
                <w:rFonts w:ascii="Arial" w:cs="Arial" w:eastAsia="Arial" w:hAnsi="Arial"/>
                <w:sz w:val="10"/>
                <w:szCs w:val="10"/>
                <w:color w:val="auto"/>
              </w:rPr>
              <w:t>Loss on sale of securities</w:t>
            </w:r>
          </w:p>
        </w:tc>
        <w:tc>
          <w:tcPr>
            <w:tcW w:w="104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(454)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(60,400)</w:t>
            </w:r>
          </w:p>
        </w:tc>
        <w:tc>
          <w:tcPr>
            <w:tcW w:w="0" w:type="dxa"/>
            <w:vAlign w:val="bottom"/>
          </w:tcPr>
          <w:p>
            <w:pPr>
              <w:spacing w:after="0"/>
              <w:rPr>
                <w:sz w:val="1"/>
                <w:szCs w:val="1"/>
                <w:color w:val="auto"/>
              </w:rPr>
            </w:pPr>
          </w:p>
        </w:tc>
      </w:tr>
      <w:tr>
        <w:trPr>
          <w:trHeight w:val="135"/>
        </w:trPr>
        <w:tc>
          <w:tcPr>
            <w:tcW w:w="3820" w:type="dxa"/>
            <w:vAlign w:val="bottom"/>
            <w:gridSpan w:val="2"/>
          </w:tcPr>
          <w:p>
            <w:pPr>
              <w:ind w:left="140"/>
              <w:spacing w:after="0"/>
              <w:rPr>
                <w:sz w:val="20"/>
                <w:szCs w:val="20"/>
                <w:color w:val="auto"/>
              </w:rPr>
            </w:pPr>
            <w:r>
              <w:rPr>
                <w:rFonts w:ascii="Arial" w:cs="Arial" w:eastAsia="Arial" w:hAnsi="Arial"/>
                <w:sz w:val="10"/>
                <w:szCs w:val="10"/>
                <w:color w:val="auto"/>
              </w:rPr>
              <w:t>Other noninterest income</w:t>
            </w: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41,553</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34,659</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29,423</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142,254</w:t>
            </w: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136,900</w:t>
            </w:r>
          </w:p>
        </w:tc>
        <w:tc>
          <w:tcPr>
            <w:tcW w:w="0" w:type="dxa"/>
            <w:vAlign w:val="bottom"/>
          </w:tcPr>
          <w:p>
            <w:pPr>
              <w:spacing w:after="0"/>
              <w:rPr>
                <w:sz w:val="1"/>
                <w:szCs w:val="1"/>
                <w:color w:val="auto"/>
              </w:rPr>
            </w:pPr>
          </w:p>
        </w:tc>
      </w:tr>
      <w:tr>
        <w:trPr>
          <w:trHeight w:val="124"/>
        </w:trPr>
        <w:tc>
          <w:tcPr>
            <w:tcW w:w="3820" w:type="dxa"/>
            <w:vAlign w:val="bottom"/>
            <w:gridSpan w:val="2"/>
          </w:tcPr>
          <w:p>
            <w:pPr>
              <w:spacing w:after="0"/>
              <w:rPr>
                <w:sz w:val="20"/>
                <w:szCs w:val="20"/>
                <w:color w:val="auto"/>
              </w:rPr>
            </w:pPr>
            <w:r>
              <w:rPr>
                <w:rFonts w:ascii="Arial" w:cs="Arial" w:eastAsia="Arial" w:hAnsi="Arial"/>
                <w:sz w:val="10"/>
                <w:szCs w:val="10"/>
                <w:color w:val="auto"/>
              </w:rPr>
              <w:t>Total noninterest income</w:t>
            </w:r>
          </w:p>
        </w:tc>
        <w:tc>
          <w:tcPr>
            <w:tcW w:w="10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41,571</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34,285</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28,989</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142,139</w:t>
            </w:r>
          </w:p>
        </w:tc>
        <w:tc>
          <w:tcPr>
            <w:tcW w:w="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77,145</w:t>
            </w:r>
          </w:p>
        </w:tc>
        <w:tc>
          <w:tcPr>
            <w:tcW w:w="0" w:type="dxa"/>
            <w:vAlign w:val="bottom"/>
          </w:tcPr>
          <w:p>
            <w:pPr>
              <w:spacing w:after="0"/>
              <w:rPr>
                <w:sz w:val="1"/>
                <w:szCs w:val="1"/>
                <w:color w:val="auto"/>
              </w:rPr>
            </w:pPr>
          </w:p>
        </w:tc>
      </w:tr>
      <w:tr>
        <w:trPr>
          <w:trHeight w:val="124"/>
        </w:trPr>
        <w:tc>
          <w:tcPr>
            <w:tcW w:w="3820" w:type="dxa"/>
            <w:vAlign w:val="bottom"/>
            <w:gridSpan w:val="2"/>
          </w:tcPr>
          <w:p>
            <w:pPr>
              <w:spacing w:after="0"/>
              <w:rPr>
                <w:sz w:val="20"/>
                <w:szCs w:val="20"/>
                <w:color w:val="auto"/>
              </w:rPr>
            </w:pPr>
            <w:r>
              <w:rPr>
                <w:rFonts w:ascii="Arial" w:cs="Arial" w:eastAsia="Arial" w:hAnsi="Arial"/>
                <w:sz w:val="10"/>
                <w:szCs w:val="10"/>
                <w:color w:val="auto"/>
              </w:rPr>
              <w:t>Total revenue</w:t>
            </w:r>
          </w:p>
        </w:tc>
        <w:tc>
          <w:tcPr>
            <w:tcW w:w="10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8"/>
              </w:rPr>
              <w:t>292,933</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287,729</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264,274</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1,119,525</w:t>
            </w:r>
          </w:p>
        </w:tc>
        <w:tc>
          <w:tcPr>
            <w:tcW w:w="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1,003,195</w:t>
            </w:r>
          </w:p>
        </w:tc>
        <w:tc>
          <w:tcPr>
            <w:tcW w:w="0" w:type="dxa"/>
            <w:vAlign w:val="bottom"/>
          </w:tcPr>
          <w:p>
            <w:pPr>
              <w:spacing w:after="0"/>
              <w:rPr>
                <w:sz w:val="1"/>
                <w:szCs w:val="1"/>
                <w:color w:val="auto"/>
              </w:rPr>
            </w:pPr>
          </w:p>
        </w:tc>
      </w:tr>
      <w:tr>
        <w:trPr>
          <w:trHeight w:val="115"/>
        </w:trPr>
        <w:tc>
          <w:tcPr>
            <w:tcW w:w="3820" w:type="dxa"/>
            <w:vAlign w:val="bottom"/>
            <w:gridSpan w:val="2"/>
          </w:tcPr>
          <w:p>
            <w:pPr>
              <w:ind w:left="140"/>
              <w:spacing w:after="0"/>
              <w:rPr>
                <w:sz w:val="20"/>
                <w:szCs w:val="20"/>
                <w:color w:val="auto"/>
              </w:rPr>
            </w:pPr>
            <w:r>
              <w:rPr>
                <w:rFonts w:ascii="Arial" w:cs="Arial" w:eastAsia="Arial" w:hAnsi="Arial"/>
                <w:sz w:val="10"/>
                <w:szCs w:val="10"/>
                <w:color w:val="auto"/>
              </w:rPr>
              <w:t>Acquisition, integration and</w:t>
            </w: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gridSpan w:val="2"/>
          </w:tcPr>
          <w:p>
            <w:pPr>
              <w:ind w:left="220"/>
              <w:spacing w:after="0"/>
              <w:rPr>
                <w:sz w:val="20"/>
                <w:szCs w:val="20"/>
                <w:color w:val="auto"/>
              </w:rPr>
            </w:pPr>
            <w:r>
              <w:rPr>
                <w:rFonts w:ascii="Arial" w:cs="Arial" w:eastAsia="Arial" w:hAnsi="Arial"/>
                <w:sz w:val="10"/>
                <w:szCs w:val="10"/>
                <w:color w:val="auto"/>
              </w:rPr>
              <w:t>reorganization costs</w:t>
            </w:r>
          </w:p>
        </w:tc>
        <w:tc>
          <w:tcPr>
            <w:tcW w:w="104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(1,023)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(14,183)</w:t>
            </w:r>
          </w:p>
        </w:tc>
        <w:tc>
          <w:tcPr>
            <w:tcW w:w="0" w:type="dxa"/>
            <w:vAlign w:val="bottom"/>
          </w:tcPr>
          <w:p>
            <w:pPr>
              <w:spacing w:after="0"/>
              <w:rPr>
                <w:sz w:val="1"/>
                <w:szCs w:val="1"/>
                <w:color w:val="auto"/>
              </w:rPr>
            </w:pPr>
          </w:p>
        </w:tc>
      </w:tr>
      <w:tr>
        <w:trPr>
          <w:trHeight w:val="135"/>
        </w:trPr>
        <w:tc>
          <w:tcPr>
            <w:tcW w:w="3820" w:type="dxa"/>
            <w:vAlign w:val="bottom"/>
            <w:gridSpan w:val="2"/>
          </w:tcPr>
          <w:p>
            <w:pPr>
              <w:ind w:left="140"/>
              <w:spacing w:after="0"/>
              <w:rPr>
                <w:sz w:val="20"/>
                <w:szCs w:val="20"/>
                <w:color w:val="auto"/>
              </w:rPr>
            </w:pPr>
            <w:r>
              <w:rPr>
                <w:rFonts w:ascii="Arial" w:cs="Arial" w:eastAsia="Arial" w:hAnsi="Arial"/>
                <w:sz w:val="10"/>
                <w:szCs w:val="10"/>
                <w:color w:val="auto"/>
              </w:rPr>
              <w:t>Other noninterest expense</w:t>
            </w: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8"/>
              </w:rPr>
              <w:t>180,644</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185,684</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182,393</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735,850</w:t>
            </w: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805,923</w:t>
            </w:r>
          </w:p>
        </w:tc>
        <w:tc>
          <w:tcPr>
            <w:tcW w:w="0" w:type="dxa"/>
            <w:vAlign w:val="bottom"/>
          </w:tcPr>
          <w:p>
            <w:pPr>
              <w:spacing w:after="0"/>
              <w:rPr>
                <w:sz w:val="1"/>
                <w:szCs w:val="1"/>
                <w:color w:val="auto"/>
              </w:rPr>
            </w:pPr>
          </w:p>
        </w:tc>
      </w:tr>
      <w:tr>
        <w:trPr>
          <w:trHeight w:val="124"/>
        </w:trPr>
        <w:tc>
          <w:tcPr>
            <w:tcW w:w="3820" w:type="dxa"/>
            <w:vAlign w:val="bottom"/>
            <w:gridSpan w:val="2"/>
          </w:tcPr>
          <w:p>
            <w:pPr>
              <w:spacing w:after="0"/>
              <w:rPr>
                <w:sz w:val="20"/>
                <w:szCs w:val="20"/>
                <w:color w:val="auto"/>
              </w:rPr>
            </w:pPr>
            <w:r>
              <w:rPr>
                <w:rFonts w:ascii="Arial" w:cs="Arial" w:eastAsia="Arial" w:hAnsi="Arial"/>
                <w:sz w:val="10"/>
                <w:szCs w:val="10"/>
                <w:color w:val="auto"/>
              </w:rPr>
              <w:t>Total noninterest expense</w:t>
            </w:r>
          </w:p>
        </w:tc>
        <w:tc>
          <w:tcPr>
            <w:tcW w:w="10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8"/>
              </w:rPr>
              <w:t>180,644</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185,684</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181,370</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735,850</w:t>
            </w:r>
          </w:p>
        </w:tc>
        <w:tc>
          <w:tcPr>
            <w:tcW w:w="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791,740</w:t>
            </w:r>
          </w:p>
        </w:tc>
        <w:tc>
          <w:tcPr>
            <w:tcW w:w="0" w:type="dxa"/>
            <w:vAlign w:val="bottom"/>
          </w:tcPr>
          <w:p>
            <w:pPr>
              <w:spacing w:after="0"/>
              <w:rPr>
                <w:sz w:val="1"/>
                <w:szCs w:val="1"/>
                <w:color w:val="auto"/>
              </w:rPr>
            </w:pPr>
          </w:p>
        </w:tc>
      </w:tr>
      <w:tr>
        <w:trPr>
          <w:trHeight w:val="124"/>
        </w:trPr>
        <w:tc>
          <w:tcPr>
            <w:tcW w:w="3820" w:type="dxa"/>
            <w:vAlign w:val="bottom"/>
            <w:gridSpan w:val="2"/>
          </w:tcPr>
          <w:p>
            <w:pPr>
              <w:ind w:left="140"/>
              <w:spacing w:after="0"/>
              <w:rPr>
                <w:sz w:val="20"/>
                <w:szCs w:val="20"/>
                <w:color w:val="auto"/>
              </w:rPr>
            </w:pPr>
            <w:r>
              <w:rPr>
                <w:rFonts w:ascii="Arial" w:cs="Arial" w:eastAsia="Arial" w:hAnsi="Arial"/>
                <w:sz w:val="10"/>
                <w:szCs w:val="10"/>
                <w:color w:val="auto"/>
              </w:rPr>
              <w:t>Earnings before income taxes</w:t>
            </w:r>
          </w:p>
        </w:tc>
        <w:tc>
          <w:tcPr>
            <w:tcW w:w="10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99,789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92,345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70,103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313,075</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168,654</w:t>
            </w: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rPr>
                <w:sz w:val="20"/>
                <w:szCs w:val="20"/>
                <w:color w:val="auto"/>
              </w:rPr>
            </w:pPr>
            <w:r>
              <w:rPr>
                <w:rFonts w:ascii="Arial" w:cs="Arial" w:eastAsia="Arial" w:hAnsi="Arial"/>
                <w:sz w:val="10"/>
                <w:szCs w:val="10"/>
                <w:color w:val="auto"/>
              </w:rPr>
              <w:t>Income tax expense</w:t>
            </w: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22,398</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22,716</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13,184</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84,102</w:t>
            </w: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41,766</w:t>
            </w:r>
          </w:p>
        </w:tc>
        <w:tc>
          <w:tcPr>
            <w:tcW w:w="0" w:type="dxa"/>
            <w:vAlign w:val="bottom"/>
          </w:tcPr>
          <w:p>
            <w:pPr>
              <w:spacing w:after="0"/>
              <w:rPr>
                <w:sz w:val="1"/>
                <w:szCs w:val="1"/>
                <w:color w:val="auto"/>
              </w:rPr>
            </w:pPr>
          </w:p>
        </w:tc>
      </w:tr>
      <w:tr>
        <w:trPr>
          <w:trHeight w:val="124"/>
        </w:trPr>
        <w:tc>
          <w:tcPr>
            <w:tcW w:w="3820" w:type="dxa"/>
            <w:vAlign w:val="bottom"/>
            <w:gridSpan w:val="2"/>
          </w:tcPr>
          <w:p>
            <w:pPr>
              <w:ind w:left="140"/>
              <w:spacing w:after="0"/>
              <w:rPr>
                <w:sz w:val="20"/>
                <w:szCs w:val="20"/>
                <w:color w:val="auto"/>
              </w:rPr>
            </w:pPr>
            <w:r>
              <w:rPr>
                <w:rFonts w:ascii="Arial" w:cs="Arial" w:eastAsia="Arial" w:hAnsi="Arial"/>
                <w:sz w:val="10"/>
                <w:szCs w:val="10"/>
                <w:color w:val="auto"/>
              </w:rPr>
              <w:t>Net earnings</w:t>
            </w:r>
          </w:p>
        </w:tc>
        <w:tc>
          <w:tcPr>
            <w:tcW w:w="10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77,391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69,629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56,919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228,973</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126,888</w:t>
            </w: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rPr>
                <w:sz w:val="20"/>
                <w:szCs w:val="20"/>
                <w:color w:val="auto"/>
              </w:rPr>
            </w:pPr>
            <w:r>
              <w:rPr>
                <w:rFonts w:ascii="Arial" w:cs="Arial" w:eastAsia="Arial" w:hAnsi="Arial"/>
                <w:sz w:val="10"/>
                <w:szCs w:val="10"/>
                <w:color w:val="auto"/>
              </w:rPr>
              <w:t>Preferred stock dividends</w:t>
            </w: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9,947</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9,947</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9,947</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39,788</w:t>
            </w: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39,788</w:t>
            </w:r>
          </w:p>
        </w:tc>
        <w:tc>
          <w:tcPr>
            <w:tcW w:w="0" w:type="dxa"/>
            <w:vAlign w:val="bottom"/>
          </w:tcPr>
          <w:p>
            <w:pPr>
              <w:spacing w:after="0"/>
              <w:rPr>
                <w:sz w:val="1"/>
                <w:szCs w:val="1"/>
                <w:color w:val="auto"/>
              </w:rPr>
            </w:pPr>
          </w:p>
        </w:tc>
      </w:tr>
      <w:tr>
        <w:trPr>
          <w:trHeight w:val="115"/>
        </w:trPr>
        <w:tc>
          <w:tcPr>
            <w:tcW w:w="3820" w:type="dxa"/>
            <w:vAlign w:val="bottom"/>
            <w:gridSpan w:val="2"/>
          </w:tcPr>
          <w:p>
            <w:pPr>
              <w:ind w:left="140"/>
              <w:spacing w:after="0"/>
              <w:rPr>
                <w:sz w:val="20"/>
                <w:szCs w:val="20"/>
                <w:color w:val="auto"/>
              </w:rPr>
            </w:pPr>
            <w:r>
              <w:rPr>
                <w:rFonts w:ascii="Arial" w:cs="Arial" w:eastAsia="Arial" w:hAnsi="Arial"/>
                <w:sz w:val="10"/>
                <w:szCs w:val="10"/>
                <w:color w:val="auto"/>
              </w:rPr>
              <w:t>Net earnings available to common</w:t>
            </w:r>
          </w:p>
        </w:tc>
        <w:tc>
          <w:tcPr>
            <w:tcW w:w="1040" w:type="dxa"/>
            <w:vAlign w:val="bottom"/>
            <w:vMerge w:val="restart"/>
          </w:tcPr>
          <w:p>
            <w:pPr>
              <w:jc w:val="right"/>
              <w:ind w:right="932"/>
              <w:spacing w:after="0"/>
              <w:rPr>
                <w:sz w:val="20"/>
                <w:szCs w:val="20"/>
                <w:color w:val="auto"/>
              </w:rPr>
            </w:pPr>
            <w:r>
              <w:rPr>
                <w:rFonts w:ascii="Arial" w:cs="Arial" w:eastAsia="Arial" w:hAnsi="Arial"/>
                <w:sz w:val="10"/>
                <w:szCs w:val="10"/>
                <w:color w:val="auto"/>
                <w:w w:val="71"/>
              </w:rPr>
              <w:t>$</w:t>
            </w: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67,444</w:t>
            </w:r>
          </w:p>
        </w:tc>
        <w:tc>
          <w:tcPr>
            <w:tcW w:w="100" w:type="dxa"/>
            <w:vAlign w:val="bottom"/>
          </w:tcPr>
          <w:p>
            <w:pPr>
              <w:spacing w:after="0"/>
              <w:rPr>
                <w:sz w:val="10"/>
                <w:szCs w:val="10"/>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1260" w:type="dxa"/>
            <w:vAlign w:val="bottom"/>
            <w:vMerge w:val="restart"/>
          </w:tcPr>
          <w:p>
            <w:pPr>
              <w:jc w:val="right"/>
              <w:spacing w:after="0"/>
              <w:rPr>
                <w:sz w:val="20"/>
                <w:szCs w:val="20"/>
                <w:color w:val="auto"/>
              </w:rPr>
            </w:pPr>
            <w:r>
              <w:rPr>
                <w:rFonts w:ascii="Arial" w:cs="Arial" w:eastAsia="Arial" w:hAnsi="Arial"/>
                <w:sz w:val="10"/>
                <w:szCs w:val="10"/>
                <w:color w:val="auto"/>
              </w:rPr>
              <w:t>59,682</w:t>
            </w:r>
          </w:p>
        </w:tc>
        <w:tc>
          <w:tcPr>
            <w:tcW w:w="100" w:type="dxa"/>
            <w:vAlign w:val="bottom"/>
          </w:tcPr>
          <w:p>
            <w:pPr>
              <w:spacing w:after="0"/>
              <w:rPr>
                <w:sz w:val="10"/>
                <w:szCs w:val="10"/>
                <w:color w:val="auto"/>
              </w:rPr>
            </w:pPr>
          </w:p>
        </w:tc>
        <w:tc>
          <w:tcPr>
            <w:tcW w:w="220" w:type="dxa"/>
            <w:vAlign w:val="bottom"/>
            <w:vMerge w:val="restart"/>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0"/>
                <w:szCs w:val="10"/>
                <w:color w:val="auto"/>
              </w:rPr>
              <w:t>46,972</w:t>
            </w:r>
          </w:p>
        </w:tc>
        <w:tc>
          <w:tcPr>
            <w:tcW w:w="80" w:type="dxa"/>
            <w:vAlign w:val="bottom"/>
          </w:tcPr>
          <w:p>
            <w:pPr>
              <w:spacing w:after="0"/>
              <w:rPr>
                <w:sz w:val="10"/>
                <w:szCs w:val="10"/>
                <w:color w:val="auto"/>
              </w:rPr>
            </w:pPr>
          </w:p>
        </w:tc>
        <w:tc>
          <w:tcPr>
            <w:tcW w:w="340" w:type="dxa"/>
            <w:vAlign w:val="bottom"/>
            <w:vMerge w:val="restart"/>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vMerge w:val="restart"/>
          </w:tcPr>
          <w:p>
            <w:pPr>
              <w:jc w:val="right"/>
              <w:ind w:right="12"/>
              <w:spacing w:after="0"/>
              <w:rPr>
                <w:sz w:val="20"/>
                <w:szCs w:val="20"/>
                <w:color w:val="auto"/>
              </w:rPr>
            </w:pPr>
            <w:r>
              <w:rPr>
                <w:rFonts w:ascii="Arial" w:cs="Arial" w:eastAsia="Arial" w:hAnsi="Arial"/>
                <w:sz w:val="10"/>
                <w:szCs w:val="10"/>
                <w:color w:val="auto"/>
              </w:rPr>
              <w:t>189,185</w:t>
            </w:r>
          </w:p>
        </w:tc>
        <w:tc>
          <w:tcPr>
            <w:tcW w:w="60" w:type="dxa"/>
            <w:vAlign w:val="bottom"/>
          </w:tcPr>
          <w:p>
            <w:pPr>
              <w:spacing w:after="0"/>
              <w:rPr>
                <w:sz w:val="10"/>
                <w:szCs w:val="10"/>
                <w:color w:val="auto"/>
              </w:rPr>
            </w:pPr>
          </w:p>
        </w:tc>
        <w:tc>
          <w:tcPr>
            <w:tcW w:w="440" w:type="dxa"/>
            <w:vAlign w:val="bottom"/>
            <w:vMerge w:val="restart"/>
          </w:tcPr>
          <w:p>
            <w:pPr>
              <w:jc w:val="right"/>
              <w:ind w:right="312"/>
              <w:spacing w:after="0"/>
              <w:rPr>
                <w:sz w:val="20"/>
                <w:szCs w:val="20"/>
                <w:color w:val="auto"/>
              </w:rPr>
            </w:pPr>
            <w:r>
              <w:rPr>
                <w:rFonts w:ascii="Arial" w:cs="Arial" w:eastAsia="Arial" w:hAnsi="Arial"/>
                <w:sz w:val="10"/>
                <w:szCs w:val="1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0"/>
                <w:szCs w:val="10"/>
                <w:color w:val="auto"/>
              </w:rPr>
              <w:t>87,100</w:t>
            </w:r>
          </w:p>
        </w:tc>
        <w:tc>
          <w:tcPr>
            <w:tcW w:w="0" w:type="dxa"/>
            <w:vAlign w:val="bottom"/>
          </w:tcPr>
          <w:p>
            <w:pPr>
              <w:spacing w:after="0"/>
              <w:rPr>
                <w:sz w:val="1"/>
                <w:szCs w:val="1"/>
                <w:color w:val="auto"/>
              </w:rPr>
            </w:pPr>
          </w:p>
        </w:tc>
      </w:tr>
      <w:tr>
        <w:trPr>
          <w:trHeight w:val="146"/>
        </w:trPr>
        <w:tc>
          <w:tcPr>
            <w:tcW w:w="3820" w:type="dxa"/>
            <w:vAlign w:val="bottom"/>
            <w:gridSpan w:val="2"/>
          </w:tcPr>
          <w:p>
            <w:pPr>
              <w:ind w:left="220"/>
              <w:spacing w:after="0"/>
              <w:rPr>
                <w:sz w:val="20"/>
                <w:szCs w:val="20"/>
                <w:color w:val="auto"/>
              </w:rPr>
            </w:pPr>
            <w:r>
              <w:rPr>
                <w:rFonts w:ascii="Arial" w:cs="Arial" w:eastAsia="Arial" w:hAnsi="Arial"/>
                <w:sz w:val="10"/>
                <w:szCs w:val="10"/>
                <w:color w:val="auto"/>
              </w:rPr>
              <w:t>and equivalent stockholders</w:t>
            </w:r>
          </w:p>
        </w:tc>
        <w:tc>
          <w:tcPr>
            <w:tcW w:w="10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20" w:type="dxa"/>
            <w:vAlign w:val="bottom"/>
            <w:gridSpan w:val="2"/>
          </w:tcPr>
          <w:p>
            <w:pPr>
              <w:spacing w:after="0"/>
              <w:rPr>
                <w:sz w:val="20"/>
                <w:szCs w:val="20"/>
                <w:color w:val="auto"/>
              </w:rPr>
            </w:pPr>
            <w:r>
              <w:rPr>
                <w:rFonts w:ascii="Arial" w:cs="Arial" w:eastAsia="Arial" w:hAnsi="Arial"/>
                <w:sz w:val="10"/>
                <w:szCs w:val="10"/>
                <w:color w:val="auto"/>
              </w:rPr>
              <w:t>Diluted earnings per share</w:t>
            </w:r>
          </w:p>
        </w:tc>
        <w:tc>
          <w:tcPr>
            <w:tcW w:w="1040" w:type="dxa"/>
            <w:vAlign w:val="bottom"/>
          </w:tcPr>
          <w:p>
            <w:pPr>
              <w:jc w:val="right"/>
              <w:ind w:right="93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0.42</w:t>
            </w:r>
          </w:p>
        </w:tc>
        <w:tc>
          <w:tcPr>
            <w:tcW w:w="100" w:type="dxa"/>
            <w:vAlign w:val="bottom"/>
          </w:tcPr>
          <w:p>
            <w:pPr>
              <w:spacing w:after="0"/>
              <w:rPr>
                <w:sz w:val="20"/>
                <w:szCs w:val="2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0.38</w:t>
            </w:r>
          </w:p>
        </w:tc>
        <w:tc>
          <w:tcPr>
            <w:tcW w:w="100" w:type="dxa"/>
            <w:vAlign w:val="bottom"/>
          </w:tcPr>
          <w:p>
            <w:pPr>
              <w:spacing w:after="0"/>
              <w:rPr>
                <w:sz w:val="20"/>
                <w:szCs w:val="20"/>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0.28</w:t>
            </w:r>
          </w:p>
        </w:tc>
        <w:tc>
          <w:tcPr>
            <w:tcW w:w="80" w:type="dxa"/>
            <w:vAlign w:val="bottom"/>
          </w:tcPr>
          <w:p>
            <w:pPr>
              <w:spacing w:after="0"/>
              <w:rPr>
                <w:sz w:val="20"/>
                <w:szCs w:val="2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1.17</w:t>
            </w:r>
          </w:p>
        </w:tc>
        <w:tc>
          <w:tcPr>
            <w:tcW w:w="60" w:type="dxa"/>
            <w:vAlign w:val="bottom"/>
          </w:tcPr>
          <w:p>
            <w:pPr>
              <w:spacing w:after="0"/>
              <w:rPr>
                <w:sz w:val="20"/>
                <w:szCs w:val="20"/>
                <w:color w:val="auto"/>
              </w:rPr>
            </w:pPr>
          </w:p>
        </w:tc>
        <w:tc>
          <w:tcPr>
            <w:tcW w:w="44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0.52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Net Interest Income and Margin</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Fourth Quarter of 2025 Compared to Third Quarter of 2025</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Net interest income decreased by $2.1 million to $251.4 million for the fourth quarter from $253.4 million for the third quarter, attributable primarily to the following:</w:t>
      </w:r>
    </w:p>
    <w:p>
      <w:pPr>
        <w:spacing w:after="0" w:line="78" w:lineRule="exact"/>
        <w:rPr>
          <w:sz w:val="20"/>
          <w:szCs w:val="20"/>
          <w:color w:val="auto"/>
        </w:rPr>
      </w:pPr>
    </w:p>
    <w:p>
      <w:pPr>
        <w:ind w:left="208" w:right="340" w:hanging="208"/>
        <w:spacing w:after="0" w:line="286" w:lineRule="auto"/>
        <w:tabs>
          <w:tab w:leader="none" w:pos="205" w:val="left"/>
        </w:tabs>
        <w:numPr>
          <w:ilvl w:val="0"/>
          <w:numId w:val="3"/>
        </w:numPr>
        <w:rPr>
          <w:rFonts w:ascii="Arial" w:cs="Arial" w:eastAsia="Arial" w:hAnsi="Arial"/>
          <w:sz w:val="12"/>
          <w:szCs w:val="12"/>
          <w:color w:val="auto"/>
        </w:rPr>
      </w:pPr>
      <w:r>
        <w:rPr>
          <w:rFonts w:ascii="Arial" w:cs="Arial" w:eastAsia="Arial" w:hAnsi="Arial"/>
          <w:sz w:val="12"/>
          <w:szCs w:val="12"/>
          <w:color w:val="auto"/>
        </w:rPr>
        <w:t>A decrease of $13.5 million in interest income from loans due primarily to a lower average yield attributable to federal funds rate cuts of 25 basis points in September 2025 and 50 basis points in the fourth quarter and to lower net loan discount accretion.</w:t>
      </w:r>
    </w:p>
    <w:p>
      <w:pPr>
        <w:spacing w:after="0" w:line="31" w:lineRule="exact"/>
        <w:rPr>
          <w:rFonts w:ascii="Arial" w:cs="Arial" w:eastAsia="Arial" w:hAnsi="Arial"/>
          <w:sz w:val="12"/>
          <w:szCs w:val="12"/>
          <w:color w:val="auto"/>
        </w:rPr>
      </w:pPr>
    </w:p>
    <w:p>
      <w:pPr>
        <w:ind w:left="208" w:hanging="208"/>
        <w:spacing w:after="0"/>
        <w:tabs>
          <w:tab w:leader="none" w:pos="208" w:val="left"/>
        </w:tabs>
        <w:numPr>
          <w:ilvl w:val="0"/>
          <w:numId w:val="3"/>
        </w:numPr>
        <w:rPr>
          <w:rFonts w:ascii="Arial" w:cs="Arial" w:eastAsia="Arial" w:hAnsi="Arial"/>
          <w:sz w:val="12"/>
          <w:szCs w:val="12"/>
          <w:color w:val="auto"/>
        </w:rPr>
      </w:pPr>
      <w:r>
        <w:rPr>
          <w:rFonts w:ascii="Arial" w:cs="Arial" w:eastAsia="Arial" w:hAnsi="Arial"/>
          <w:sz w:val="12"/>
          <w:szCs w:val="12"/>
          <w:color w:val="auto"/>
        </w:rPr>
        <w:t>A decrease of $3.4 million in interest income from deposits in financial institutions driven mainly by lower interest rates and lower average balances.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was offset partially by:</w:t>
      </w:r>
    </w:p>
    <w:p>
      <w:pPr>
        <w:spacing w:after="0" w:line="78"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2"/>
          <w:szCs w:val="12"/>
          <w:color w:val="auto"/>
        </w:rPr>
      </w:pPr>
      <w:r>
        <w:rPr>
          <w:rFonts w:ascii="Arial" w:cs="Arial" w:eastAsia="Arial" w:hAnsi="Arial"/>
          <w:sz w:val="12"/>
          <w:szCs w:val="12"/>
          <w:color w:val="auto"/>
        </w:rPr>
        <w:t>A decrease of $13.2 million in interest expense on deposits due primarily to lower interest rates attributable to the federal funds rate cuts described above.</w:t>
      </w:r>
    </w:p>
    <w:p>
      <w:pPr>
        <w:spacing w:after="0" w:line="78" w:lineRule="exact"/>
        <w:rPr>
          <w:sz w:val="20"/>
          <w:szCs w:val="20"/>
          <w:color w:val="auto"/>
        </w:rPr>
      </w:pPr>
    </w:p>
    <w:p>
      <w:pPr>
        <w:jc w:val="both"/>
        <w:ind w:left="8" w:right="80"/>
        <w:spacing w:after="0" w:line="303" w:lineRule="auto"/>
        <w:rPr>
          <w:sz w:val="20"/>
          <w:szCs w:val="20"/>
          <w:color w:val="auto"/>
        </w:rPr>
      </w:pPr>
      <w:r>
        <w:rPr>
          <w:rFonts w:ascii="Arial" w:cs="Arial" w:eastAsia="Arial" w:hAnsi="Arial"/>
          <w:sz w:val="11"/>
          <w:szCs w:val="11"/>
          <w:color w:val="auto"/>
        </w:rPr>
        <w:t>The net interest margin was 3.20% for the fourth quarter, down 2 basis points from 3.22% for the third quarter primarily driven by a lower average yield on interest-earning assets, offset partially by a lower average total cost of funds. The average yield on interest-earning assets decreased to 5.31% from 5.50%, as a result of a 22 basis point decrease in the average yield on loans and leases to 5.83%. The average total cost of funds decreased to 2.20% from 2.37%, as a result of a 19 basis point decrease in the average total cost of deposits to 1.89%, and a 2 basis points decrease in the average cost of borrowings to 4.74%.</w:t>
      </w:r>
    </w:p>
    <w:p>
      <w:pPr>
        <w:spacing w:after="0" w:line="25" w:lineRule="exact"/>
        <w:rPr>
          <w:sz w:val="20"/>
          <w:szCs w:val="20"/>
          <w:color w:val="auto"/>
        </w:rPr>
      </w:pPr>
    </w:p>
    <w:p>
      <w:pPr>
        <w:jc w:val="both"/>
        <w:ind w:left="8" w:right="60"/>
        <w:spacing w:after="0" w:line="286" w:lineRule="auto"/>
        <w:rPr>
          <w:sz w:val="20"/>
          <w:szCs w:val="20"/>
          <w:color w:val="auto"/>
        </w:rPr>
      </w:pPr>
      <w:r>
        <w:rPr>
          <w:rFonts w:ascii="Arial" w:cs="Arial" w:eastAsia="Arial" w:hAnsi="Arial"/>
          <w:sz w:val="12"/>
          <w:szCs w:val="12"/>
          <w:color w:val="auto"/>
        </w:rPr>
        <w:t>Average total deposits decreased by $75.9 million, with a $202.0 million decrease in average interest-bearing deposits, offset partially by a $126.2 million increase in average noninterest-bearing deposits. Average noninterest-bearing deposits represented 28.7% of average total deposits in the fourth quarter, up from 28.2% in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548640"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3</w:t>
      </w:r>
    </w:p>
    <w:p>
      <w:pPr>
        <w:sectPr>
          <w:pgSz w:w="11900" w:h="16838" w:orient="portrait"/>
          <w:cols w:equalWidth="0" w:num="1">
            <w:col w:w="11308"/>
          </w:cols>
          <w:pgMar w:left="292" w:top="802" w:right="299" w:bottom="1440" w:gutter="0" w:footer="0" w:header="0"/>
        </w:sectPr>
      </w:pPr>
    </w:p>
    <w:bookmarkStart w:id="7" w:name="page8"/>
    <w:bookmarkEnd w:id="7"/>
    <w:tbl>
      <w:tblPr>
        <w:tblLayout w:type="fixed"/>
        <w:tblInd w:w="8" w:type="dxa"/>
        <w:tblCellMar>
          <w:top w:w="0" w:type="dxa"/>
          <w:left w:w="0" w:type="dxa"/>
          <w:bottom w:w="0" w:type="dxa"/>
          <w:right w:w="0" w:type="dxa"/>
        </w:tblCellMar>
      </w:tblPr>
      <w:tr>
        <w:trPr>
          <w:trHeight w:val="132"/>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0"/>
                <w:szCs w:val="10"/>
                <w:b w:val="1"/>
                <w:bCs w:val="1"/>
                <w:color w:val="auto"/>
              </w:rPr>
              <w:t>Three Months Ended</w:t>
            </w: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0"/>
                <w:szCs w:val="10"/>
                <w:b w:val="1"/>
                <w:bCs w:val="1"/>
                <w:color w:val="auto"/>
              </w:rPr>
              <w:t>Increase (Decrease)</w:t>
            </w:r>
          </w:p>
        </w:tc>
        <w:tc>
          <w:tcPr>
            <w:tcW w:w="0" w:type="dxa"/>
            <w:vAlign w:val="bottom"/>
          </w:tcPr>
          <w:p>
            <w:pPr>
              <w:spacing w:after="0"/>
              <w:rPr>
                <w:sz w:val="1"/>
                <w:szCs w:val="1"/>
                <w:color w:val="auto"/>
              </w:rPr>
            </w:pPr>
          </w:p>
        </w:tc>
      </w:tr>
      <w:tr>
        <w:trPr>
          <w:trHeight w:val="123"/>
        </w:trPr>
        <w:tc>
          <w:tcPr>
            <w:tcW w:w="9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0"/>
                <w:szCs w:val="10"/>
                <w:b w:val="1"/>
                <w:bCs w:val="1"/>
                <w:color w:val="auto"/>
                <w:w w:val="97"/>
              </w:rPr>
              <w:t>December 31, 2025</w:t>
            </w: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b w:val="1"/>
                <w:bCs w:val="1"/>
                <w:color w:val="auto"/>
                <w:w w:val="94"/>
              </w:rPr>
              <w:t>September 30, 2025</w:t>
            </w: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QoQ</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Summary</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152"/>
              <w:spacing w:after="0"/>
              <w:rPr>
                <w:sz w:val="20"/>
                <w:szCs w:val="20"/>
                <w:color w:val="auto"/>
              </w:rPr>
            </w:pPr>
            <w:r>
              <w:rPr>
                <w:rFonts w:ascii="Arial" w:cs="Arial" w:eastAsia="Arial" w:hAnsi="Arial"/>
                <w:sz w:val="10"/>
                <w:szCs w:val="10"/>
                <w:b w:val="1"/>
                <w:bCs w:val="1"/>
                <w:color w:val="auto"/>
                <w:w w:val="93"/>
              </w:rPr>
              <w:t>Interest</w:t>
            </w:r>
          </w:p>
        </w:tc>
        <w:tc>
          <w:tcPr>
            <w:tcW w:w="9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72"/>
              <w:spacing w:after="0"/>
              <w:rPr>
                <w:sz w:val="20"/>
                <w:szCs w:val="20"/>
                <w:color w:val="auto"/>
              </w:rPr>
            </w:pPr>
            <w:r>
              <w:rPr>
                <w:rFonts w:ascii="Arial" w:cs="Arial" w:eastAsia="Arial" w:hAnsi="Arial"/>
                <w:sz w:val="10"/>
                <w:szCs w:val="10"/>
                <w:b w:val="1"/>
                <w:bCs w:val="1"/>
                <w:color w:val="auto"/>
                <w:w w:val="93"/>
              </w:rPr>
              <w:t>Interest</w:t>
            </w:r>
          </w:p>
        </w:tc>
        <w:tc>
          <w:tcPr>
            <w:tcW w:w="9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Average</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35"/>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Average Balance</w:t>
            </w:r>
          </w:p>
        </w:tc>
        <w:tc>
          <w:tcPr>
            <w:tcW w:w="220" w:type="dxa"/>
            <w:vAlign w:val="bottom"/>
          </w:tcPr>
          <w:p>
            <w:pPr>
              <w:spacing w:after="0"/>
              <w:rPr>
                <w:sz w:val="11"/>
                <w:szCs w:val="11"/>
                <w:color w:val="auto"/>
              </w:rPr>
            </w:pPr>
          </w:p>
        </w:tc>
        <w:tc>
          <w:tcPr>
            <w:tcW w:w="880" w:type="dxa"/>
            <w:vAlign w:val="bottom"/>
          </w:tcPr>
          <w:p>
            <w:pPr>
              <w:jc w:val="right"/>
              <w:ind w:right="292"/>
              <w:spacing w:after="0"/>
              <w:rPr>
                <w:sz w:val="20"/>
                <w:szCs w:val="20"/>
                <w:color w:val="auto"/>
              </w:rPr>
            </w:pPr>
            <w:r>
              <w:rPr>
                <w:rFonts w:ascii="Arial" w:cs="Arial" w:eastAsia="Arial" w:hAnsi="Arial"/>
                <w:sz w:val="10"/>
                <w:szCs w:val="10"/>
                <w:b w:val="1"/>
                <w:bCs w:val="1"/>
                <w:color w:val="auto"/>
              </w:rPr>
              <w:t>Average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152"/>
              <w:spacing w:after="0"/>
              <w:rPr>
                <w:sz w:val="20"/>
                <w:szCs w:val="20"/>
                <w:color w:val="auto"/>
              </w:rPr>
            </w:pPr>
            <w:r>
              <w:rPr>
                <w:rFonts w:ascii="Arial" w:cs="Arial" w:eastAsia="Arial" w:hAnsi="Arial"/>
                <w:sz w:val="10"/>
                <w:szCs w:val="10"/>
                <w:b w:val="1"/>
                <w:bCs w:val="1"/>
                <w:color w:val="auto"/>
              </w:rPr>
              <w:t>Income/</w:t>
            </w:r>
          </w:p>
        </w:tc>
        <w:tc>
          <w:tcPr>
            <w:tcW w:w="9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Yield/</w:t>
            </w:r>
          </w:p>
        </w:tc>
        <w:tc>
          <w:tcPr>
            <w:tcW w:w="220" w:type="dxa"/>
            <w:vAlign w:val="bottom"/>
          </w:tcPr>
          <w:p>
            <w:pPr>
              <w:spacing w:after="0"/>
              <w:rPr>
                <w:sz w:val="11"/>
                <w:szCs w:val="11"/>
                <w:color w:val="auto"/>
              </w:rPr>
            </w:pPr>
          </w:p>
        </w:tc>
        <w:tc>
          <w:tcPr>
            <w:tcW w:w="880" w:type="dxa"/>
            <w:vAlign w:val="bottom"/>
          </w:tcPr>
          <w:p>
            <w:pPr>
              <w:jc w:val="right"/>
              <w:ind w:right="292"/>
              <w:spacing w:after="0"/>
              <w:rPr>
                <w:sz w:val="20"/>
                <w:szCs w:val="20"/>
                <w:color w:val="auto"/>
              </w:rPr>
            </w:pPr>
            <w:r>
              <w:rPr>
                <w:rFonts w:ascii="Arial" w:cs="Arial" w:eastAsia="Arial" w:hAnsi="Arial"/>
                <w:sz w:val="10"/>
                <w:szCs w:val="10"/>
                <w:b w:val="1"/>
                <w:bCs w:val="1"/>
                <w:color w:val="auto"/>
              </w:rPr>
              <w:t>Average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ind w:right="152"/>
              <w:spacing w:after="0"/>
              <w:rPr>
                <w:sz w:val="20"/>
                <w:szCs w:val="20"/>
                <w:color w:val="auto"/>
              </w:rPr>
            </w:pPr>
            <w:r>
              <w:rPr>
                <w:rFonts w:ascii="Arial" w:cs="Arial" w:eastAsia="Arial" w:hAnsi="Arial"/>
                <w:sz w:val="10"/>
                <w:szCs w:val="10"/>
                <w:b w:val="1"/>
                <w:bCs w:val="1"/>
                <w:color w:val="auto"/>
                <w:w w:val="95"/>
              </w:rPr>
              <w:t>Income/</w:t>
            </w:r>
          </w:p>
        </w:tc>
        <w:tc>
          <w:tcPr>
            <w:tcW w:w="9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Yield/</w:t>
            </w:r>
          </w:p>
        </w:tc>
        <w:tc>
          <w:tcPr>
            <w:tcW w:w="220" w:type="dxa"/>
            <w:vAlign w:val="bottom"/>
          </w:tcPr>
          <w:p>
            <w:pPr>
              <w:spacing w:after="0"/>
              <w:rPr>
                <w:sz w:val="11"/>
                <w:szCs w:val="11"/>
                <w:color w:val="auto"/>
              </w:rPr>
            </w:pPr>
          </w:p>
        </w:tc>
        <w:tc>
          <w:tcPr>
            <w:tcW w:w="900" w:type="dxa"/>
            <w:vAlign w:val="bottom"/>
          </w:tcPr>
          <w:p>
            <w:pPr>
              <w:jc w:val="right"/>
              <w:ind w:right="332"/>
              <w:spacing w:after="0"/>
              <w:rPr>
                <w:sz w:val="20"/>
                <w:szCs w:val="20"/>
                <w:color w:val="auto"/>
              </w:rPr>
            </w:pPr>
            <w:r>
              <w:rPr>
                <w:rFonts w:ascii="Arial" w:cs="Arial" w:eastAsia="Arial" w:hAnsi="Arial"/>
                <w:sz w:val="10"/>
                <w:szCs w:val="10"/>
                <w:b w:val="1"/>
                <w:bCs w:val="1"/>
                <w:color w:val="auto"/>
              </w:rPr>
              <w:t>Average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7"/>
              </w:rPr>
              <w:t>Yield/</w:t>
            </w:r>
          </w:p>
        </w:tc>
        <w:tc>
          <w:tcPr>
            <w:tcW w:w="0" w:type="dxa"/>
            <w:vAlign w:val="bottom"/>
          </w:tcPr>
          <w:p>
            <w:pPr>
              <w:spacing w:after="0"/>
              <w:rPr>
                <w:sz w:val="1"/>
                <w:szCs w:val="1"/>
                <w:color w:val="auto"/>
              </w:rPr>
            </w:pPr>
          </w:p>
        </w:tc>
      </w:tr>
      <w:tr>
        <w:trPr>
          <w:trHeight w:val="110"/>
        </w:trPr>
        <w:tc>
          <w:tcPr>
            <w:tcW w:w="290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and Yield/Cost Data</w:t>
            </w:r>
          </w:p>
        </w:tc>
        <w:tc>
          <w:tcPr>
            <w:tcW w:w="220" w:type="dxa"/>
            <w:vAlign w:val="bottom"/>
          </w:tcPr>
          <w:p>
            <w:pPr>
              <w:spacing w:after="0"/>
              <w:rPr>
                <w:sz w:val="9"/>
                <w:szCs w:val="9"/>
                <w:color w:val="auto"/>
              </w:rPr>
            </w:pPr>
          </w:p>
        </w:tc>
        <w:tc>
          <w:tcPr>
            <w:tcW w:w="880" w:type="dxa"/>
            <w:vAlign w:val="bottom"/>
          </w:tcPr>
          <w:p>
            <w:pPr>
              <w:jc w:val="right"/>
              <w:ind w:right="292"/>
              <w:spacing w:after="0" w:line="110" w:lineRule="exact"/>
              <w:rPr>
                <w:sz w:val="20"/>
                <w:szCs w:val="20"/>
                <w:color w:val="auto"/>
              </w:rPr>
            </w:pPr>
            <w:r>
              <w:rPr>
                <w:rFonts w:ascii="Arial" w:cs="Arial" w:eastAsia="Arial" w:hAnsi="Arial"/>
                <w:sz w:val="10"/>
                <w:szCs w:val="10"/>
                <w:b w:val="1"/>
                <w:bCs w:val="1"/>
                <w:color w:val="auto"/>
              </w:rPr>
              <w:t>Balance</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152"/>
              <w:spacing w:after="0" w:line="110" w:lineRule="exact"/>
              <w:rPr>
                <w:sz w:val="20"/>
                <w:szCs w:val="20"/>
                <w:color w:val="auto"/>
              </w:rPr>
            </w:pPr>
            <w:r>
              <w:rPr>
                <w:rFonts w:ascii="Arial" w:cs="Arial" w:eastAsia="Arial" w:hAnsi="Arial"/>
                <w:sz w:val="10"/>
                <w:szCs w:val="10"/>
                <w:b w:val="1"/>
                <w:bCs w:val="1"/>
                <w:color w:val="auto"/>
                <w:w w:val="92"/>
              </w:rPr>
              <w:t>Expense</w:t>
            </w:r>
          </w:p>
        </w:tc>
        <w:tc>
          <w:tcPr>
            <w:tcW w:w="940" w:type="dxa"/>
            <w:vAlign w:val="bottom"/>
            <w:gridSpan w:val="2"/>
          </w:tcPr>
          <w:p>
            <w:pPr>
              <w:jc w:val="center"/>
              <w:ind w:right="60"/>
              <w:spacing w:after="0" w:line="110" w:lineRule="exact"/>
              <w:rPr>
                <w:sz w:val="20"/>
                <w:szCs w:val="20"/>
                <w:color w:val="auto"/>
              </w:rPr>
            </w:pPr>
            <w:r>
              <w:rPr>
                <w:rFonts w:ascii="Arial" w:cs="Arial" w:eastAsia="Arial" w:hAnsi="Arial"/>
                <w:sz w:val="10"/>
                <w:szCs w:val="10"/>
                <w:b w:val="1"/>
                <w:bCs w:val="1"/>
                <w:color w:val="auto"/>
                <w:w w:val="89"/>
              </w:rPr>
              <w:t>Cost</w:t>
            </w:r>
          </w:p>
        </w:tc>
        <w:tc>
          <w:tcPr>
            <w:tcW w:w="220" w:type="dxa"/>
            <w:vAlign w:val="bottom"/>
          </w:tcPr>
          <w:p>
            <w:pPr>
              <w:spacing w:after="0"/>
              <w:rPr>
                <w:sz w:val="9"/>
                <w:szCs w:val="9"/>
                <w:color w:val="auto"/>
              </w:rPr>
            </w:pPr>
          </w:p>
        </w:tc>
        <w:tc>
          <w:tcPr>
            <w:tcW w:w="880" w:type="dxa"/>
            <w:vAlign w:val="bottom"/>
          </w:tcPr>
          <w:p>
            <w:pPr>
              <w:jc w:val="right"/>
              <w:ind w:right="292"/>
              <w:spacing w:after="0" w:line="110" w:lineRule="exact"/>
              <w:rPr>
                <w:sz w:val="20"/>
                <w:szCs w:val="20"/>
                <w:color w:val="auto"/>
              </w:rPr>
            </w:pPr>
            <w:r>
              <w:rPr>
                <w:rFonts w:ascii="Arial" w:cs="Arial" w:eastAsia="Arial" w:hAnsi="Arial"/>
                <w:sz w:val="10"/>
                <w:szCs w:val="10"/>
                <w:b w:val="1"/>
                <w:bCs w:val="1"/>
                <w:color w:val="auto"/>
              </w:rPr>
              <w:t>Balance</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center"/>
              <w:ind w:right="172"/>
              <w:spacing w:after="0" w:line="110" w:lineRule="exact"/>
              <w:rPr>
                <w:sz w:val="20"/>
                <w:szCs w:val="20"/>
                <w:color w:val="auto"/>
              </w:rPr>
            </w:pPr>
            <w:r>
              <w:rPr>
                <w:rFonts w:ascii="Arial" w:cs="Arial" w:eastAsia="Arial" w:hAnsi="Arial"/>
                <w:sz w:val="10"/>
                <w:szCs w:val="10"/>
                <w:b w:val="1"/>
                <w:bCs w:val="1"/>
                <w:color w:val="auto"/>
                <w:w w:val="92"/>
              </w:rPr>
              <w:t>Expense</w:t>
            </w:r>
          </w:p>
        </w:tc>
        <w:tc>
          <w:tcPr>
            <w:tcW w:w="940" w:type="dxa"/>
            <w:vAlign w:val="bottom"/>
            <w:gridSpan w:val="2"/>
          </w:tcPr>
          <w:p>
            <w:pPr>
              <w:jc w:val="center"/>
              <w:ind w:right="80"/>
              <w:spacing w:after="0" w:line="110" w:lineRule="exact"/>
              <w:rPr>
                <w:sz w:val="20"/>
                <w:szCs w:val="20"/>
                <w:color w:val="auto"/>
              </w:rPr>
            </w:pPr>
            <w:r>
              <w:rPr>
                <w:rFonts w:ascii="Arial" w:cs="Arial" w:eastAsia="Arial" w:hAnsi="Arial"/>
                <w:sz w:val="10"/>
                <w:szCs w:val="10"/>
                <w:b w:val="1"/>
                <w:bCs w:val="1"/>
                <w:color w:val="auto"/>
                <w:w w:val="98"/>
              </w:rPr>
              <w:t>Cost</w:t>
            </w:r>
          </w:p>
        </w:tc>
        <w:tc>
          <w:tcPr>
            <w:tcW w:w="220" w:type="dxa"/>
            <w:vAlign w:val="bottom"/>
          </w:tcPr>
          <w:p>
            <w:pPr>
              <w:spacing w:after="0"/>
              <w:rPr>
                <w:sz w:val="9"/>
                <w:szCs w:val="9"/>
                <w:color w:val="auto"/>
              </w:rPr>
            </w:pPr>
          </w:p>
        </w:tc>
        <w:tc>
          <w:tcPr>
            <w:tcW w:w="900" w:type="dxa"/>
            <w:vAlign w:val="bottom"/>
          </w:tcPr>
          <w:p>
            <w:pPr>
              <w:jc w:val="right"/>
              <w:ind w:right="332"/>
              <w:spacing w:after="0" w:line="110" w:lineRule="exact"/>
              <w:rPr>
                <w:sz w:val="20"/>
                <w:szCs w:val="20"/>
                <w:color w:val="auto"/>
              </w:rPr>
            </w:pPr>
            <w:r>
              <w:rPr>
                <w:rFonts w:ascii="Arial" w:cs="Arial" w:eastAsia="Arial" w:hAnsi="Arial"/>
                <w:sz w:val="10"/>
                <w:szCs w:val="10"/>
                <w:b w:val="1"/>
                <w:bCs w:val="1"/>
                <w:color w:val="auto"/>
              </w:rPr>
              <w:t>Balance</w:t>
            </w:r>
          </w:p>
        </w:tc>
        <w:tc>
          <w:tcPr>
            <w:tcW w:w="86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Cost</w:t>
            </w:r>
          </w:p>
        </w:tc>
        <w:tc>
          <w:tcPr>
            <w:tcW w:w="0" w:type="dxa"/>
            <w:vAlign w:val="bottom"/>
          </w:tcPr>
          <w:p>
            <w:pPr>
              <w:spacing w:after="0"/>
              <w:rPr>
                <w:sz w:val="1"/>
                <w:szCs w:val="1"/>
                <w:color w:val="auto"/>
              </w:rPr>
            </w:pPr>
          </w:p>
        </w:tc>
      </w:tr>
      <w:tr>
        <w:trPr>
          <w:trHeight w:val="20"/>
        </w:trPr>
        <w:tc>
          <w:tcPr>
            <w:tcW w:w="90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gridSpan w:val="4"/>
          </w:tcPr>
          <w:p>
            <w:pPr>
              <w:jc w:val="right"/>
              <w:ind w:right="692"/>
              <w:spacing w:after="0" w:line="109" w:lineRule="exact"/>
              <w:rPr>
                <w:sz w:val="20"/>
                <w:szCs w:val="20"/>
                <w:color w:val="auto"/>
              </w:rPr>
            </w:pPr>
            <w:r>
              <w:rPr>
                <w:rFonts w:ascii="Arial" w:cs="Arial" w:eastAsia="Arial" w:hAnsi="Arial"/>
                <w:sz w:val="10"/>
                <w:szCs w:val="10"/>
                <w:b w:val="1"/>
                <w:bCs w:val="1"/>
                <w:i w:val="1"/>
                <w:iCs w:val="1"/>
                <w:color w:val="auto"/>
              </w:rPr>
              <w:t>(Dollars in thousands)</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Assets: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00" w:type="dxa"/>
            <w:vAlign w:val="bottom"/>
            <w:gridSpan w:val="2"/>
          </w:tcPr>
          <w:p>
            <w:pPr>
              <w:spacing w:after="0"/>
              <w:rPr>
                <w:sz w:val="20"/>
                <w:szCs w:val="20"/>
                <w:color w:val="auto"/>
              </w:rPr>
            </w:pPr>
            <w:r>
              <w:rPr>
                <w:rFonts w:ascii="Arial" w:cs="Arial" w:eastAsia="Arial" w:hAnsi="Arial"/>
                <w:sz w:val="10"/>
                <w:szCs w:val="10"/>
                <w:color w:val="auto"/>
              </w:rPr>
              <w:t>Loans and leases</w:t>
            </w:r>
            <w:r>
              <w:rPr>
                <w:rFonts w:ascii="Arial" w:cs="Arial" w:eastAsia="Arial" w:hAnsi="Arial"/>
                <w:sz w:val="12"/>
                <w:szCs w:val="12"/>
                <w:color w:val="auto"/>
                <w:vertAlign w:val="superscript"/>
              </w:rPr>
              <w:t>(1)</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24,443,089</w:t>
            </w:r>
          </w:p>
        </w:tc>
        <w:tc>
          <w:tcPr>
            <w:tcW w:w="24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359,268</w:t>
            </w:r>
          </w:p>
        </w:tc>
        <w:tc>
          <w:tcPr>
            <w:tcW w:w="880" w:type="dxa"/>
            <w:vAlign w:val="bottom"/>
          </w:tcPr>
          <w:p>
            <w:pPr>
              <w:jc w:val="right"/>
              <w:spacing w:after="0"/>
              <w:rPr>
                <w:sz w:val="20"/>
                <w:szCs w:val="20"/>
                <w:color w:val="auto"/>
              </w:rPr>
            </w:pPr>
            <w:r>
              <w:rPr>
                <w:rFonts w:ascii="Arial" w:cs="Arial" w:eastAsia="Arial" w:hAnsi="Arial"/>
                <w:sz w:val="10"/>
                <w:szCs w:val="10"/>
                <w:color w:val="auto"/>
              </w:rPr>
              <w:t>5.83 %</w:t>
            </w:r>
          </w:p>
        </w:tc>
        <w:tc>
          <w:tcPr>
            <w:tcW w:w="60" w:type="dxa"/>
            <w:vAlign w:val="bottom"/>
          </w:tcPr>
          <w:p>
            <w:pPr>
              <w:spacing w:after="0"/>
              <w:rPr>
                <w:sz w:val="12"/>
                <w:szCs w:val="12"/>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24,458,255</w:t>
            </w:r>
          </w:p>
        </w:tc>
        <w:tc>
          <w:tcPr>
            <w:tcW w:w="24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372,723</w:t>
            </w:r>
          </w:p>
        </w:tc>
        <w:tc>
          <w:tcPr>
            <w:tcW w:w="860" w:type="dxa"/>
            <w:vAlign w:val="bottom"/>
          </w:tcPr>
          <w:p>
            <w:pPr>
              <w:jc w:val="right"/>
              <w:spacing w:after="0"/>
              <w:rPr>
                <w:sz w:val="20"/>
                <w:szCs w:val="20"/>
                <w:color w:val="auto"/>
              </w:rPr>
            </w:pPr>
            <w:r>
              <w:rPr>
                <w:rFonts w:ascii="Arial" w:cs="Arial" w:eastAsia="Arial" w:hAnsi="Arial"/>
                <w:sz w:val="10"/>
                <w:szCs w:val="10"/>
                <w:color w:val="auto"/>
              </w:rPr>
              <w:t>6.05 %</w:t>
            </w:r>
          </w:p>
        </w:tc>
        <w:tc>
          <w:tcPr>
            <w:tcW w:w="8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(15,166)</w:t>
            </w:r>
          </w:p>
        </w:tc>
        <w:tc>
          <w:tcPr>
            <w:tcW w:w="860" w:type="dxa"/>
            <w:vAlign w:val="bottom"/>
          </w:tcPr>
          <w:p>
            <w:pPr>
              <w:jc w:val="right"/>
              <w:spacing w:after="0"/>
              <w:rPr>
                <w:sz w:val="20"/>
                <w:szCs w:val="20"/>
                <w:color w:val="auto"/>
              </w:rPr>
            </w:pPr>
            <w:r>
              <w:rPr>
                <w:rFonts w:ascii="Arial" w:cs="Arial" w:eastAsia="Arial" w:hAnsi="Arial"/>
                <w:sz w:val="10"/>
                <w:szCs w:val="10"/>
                <w:color w:val="auto"/>
              </w:rPr>
              <w:t>(0.22)%</w:t>
            </w:r>
          </w:p>
        </w:tc>
        <w:tc>
          <w:tcPr>
            <w:tcW w:w="0" w:type="dxa"/>
            <w:vAlign w:val="bottom"/>
          </w:tcPr>
          <w:p>
            <w:pPr>
              <w:spacing w:after="0"/>
              <w:rPr>
                <w:sz w:val="1"/>
                <w:szCs w:val="1"/>
                <w:color w:val="auto"/>
              </w:rPr>
            </w:pPr>
          </w:p>
        </w:tc>
      </w:tr>
      <w:tr>
        <w:trPr>
          <w:trHeight w:val="125"/>
        </w:trPr>
        <w:tc>
          <w:tcPr>
            <w:tcW w:w="2900" w:type="dxa"/>
            <w:vAlign w:val="bottom"/>
            <w:gridSpan w:val="2"/>
          </w:tcPr>
          <w:p>
            <w:pPr>
              <w:spacing w:after="0"/>
              <w:rPr>
                <w:sz w:val="20"/>
                <w:szCs w:val="20"/>
                <w:color w:val="auto"/>
              </w:rPr>
            </w:pPr>
            <w:r>
              <w:rPr>
                <w:rFonts w:ascii="Arial" w:cs="Arial" w:eastAsia="Arial" w:hAnsi="Arial"/>
                <w:sz w:val="10"/>
                <w:szCs w:val="10"/>
                <w:color w:val="auto"/>
              </w:rPr>
              <w:t>Investment securities</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4,891,281</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39,557</w:t>
            </w:r>
          </w:p>
        </w:tc>
        <w:tc>
          <w:tcPr>
            <w:tcW w:w="880" w:type="dxa"/>
            <w:vAlign w:val="bottom"/>
          </w:tcPr>
          <w:p>
            <w:pPr>
              <w:jc w:val="right"/>
              <w:spacing w:after="0"/>
              <w:rPr>
                <w:sz w:val="20"/>
                <w:szCs w:val="20"/>
                <w:color w:val="auto"/>
              </w:rPr>
            </w:pPr>
            <w:r>
              <w:rPr>
                <w:rFonts w:ascii="Arial" w:cs="Arial" w:eastAsia="Arial" w:hAnsi="Arial"/>
                <w:sz w:val="10"/>
                <w:szCs w:val="10"/>
                <w:color w:val="auto"/>
              </w:rPr>
              <w:t>3.21 %</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4,782,070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38,291</w:t>
            </w:r>
          </w:p>
        </w:tc>
        <w:tc>
          <w:tcPr>
            <w:tcW w:w="860" w:type="dxa"/>
            <w:vAlign w:val="bottom"/>
          </w:tcPr>
          <w:p>
            <w:pPr>
              <w:jc w:val="right"/>
              <w:spacing w:after="0"/>
              <w:rPr>
                <w:sz w:val="20"/>
                <w:szCs w:val="20"/>
                <w:color w:val="auto"/>
              </w:rPr>
            </w:pPr>
            <w:r>
              <w:rPr>
                <w:rFonts w:ascii="Arial" w:cs="Arial" w:eastAsia="Arial" w:hAnsi="Arial"/>
                <w:sz w:val="10"/>
                <w:szCs w:val="10"/>
                <w:color w:val="auto"/>
              </w:rPr>
              <w:t>3.18 %</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109,211</w:t>
            </w:r>
          </w:p>
        </w:tc>
        <w:tc>
          <w:tcPr>
            <w:tcW w:w="860" w:type="dxa"/>
            <w:vAlign w:val="bottom"/>
          </w:tcPr>
          <w:p>
            <w:pPr>
              <w:jc w:val="right"/>
              <w:spacing w:after="0"/>
              <w:rPr>
                <w:sz w:val="20"/>
                <w:szCs w:val="20"/>
                <w:color w:val="auto"/>
              </w:rPr>
            </w:pPr>
            <w:r>
              <w:rPr>
                <w:rFonts w:ascii="Arial" w:cs="Arial" w:eastAsia="Arial" w:hAnsi="Arial"/>
                <w:sz w:val="10"/>
                <w:szCs w:val="10"/>
                <w:color w:val="auto"/>
              </w:rPr>
              <w:t>0.03 %</w:t>
            </w:r>
          </w:p>
        </w:tc>
        <w:tc>
          <w:tcPr>
            <w:tcW w:w="0" w:type="dxa"/>
            <w:vAlign w:val="bottom"/>
          </w:tcPr>
          <w:p>
            <w:pPr>
              <w:spacing w:after="0"/>
              <w:rPr>
                <w:sz w:val="1"/>
                <w:szCs w:val="1"/>
                <w:color w:val="auto"/>
              </w:rPr>
            </w:pPr>
          </w:p>
        </w:tc>
      </w:tr>
      <w:tr>
        <w:trPr>
          <w:trHeight w:val="135"/>
        </w:trPr>
        <w:tc>
          <w:tcPr>
            <w:tcW w:w="2900" w:type="dxa"/>
            <w:vAlign w:val="bottom"/>
            <w:gridSpan w:val="2"/>
          </w:tcPr>
          <w:p>
            <w:pPr>
              <w:spacing w:after="0"/>
              <w:rPr>
                <w:sz w:val="20"/>
                <w:szCs w:val="20"/>
                <w:color w:val="auto"/>
              </w:rPr>
            </w:pPr>
            <w:r>
              <w:rPr>
                <w:rFonts w:ascii="Arial" w:cs="Arial" w:eastAsia="Arial" w:hAnsi="Arial"/>
                <w:sz w:val="10"/>
                <w:szCs w:val="10"/>
                <w:color w:val="auto"/>
              </w:rPr>
              <w:t>Deposits in financial institutions</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1,834,773</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18,123</w:t>
            </w:r>
          </w:p>
        </w:tc>
        <w:tc>
          <w:tcPr>
            <w:tcW w:w="880" w:type="dxa"/>
            <w:vAlign w:val="bottom"/>
          </w:tcPr>
          <w:p>
            <w:pPr>
              <w:jc w:val="right"/>
              <w:spacing w:after="0"/>
              <w:rPr>
                <w:sz w:val="20"/>
                <w:szCs w:val="20"/>
                <w:color w:val="auto"/>
              </w:rPr>
            </w:pPr>
            <w:r>
              <w:rPr>
                <w:rFonts w:ascii="Arial" w:cs="Arial" w:eastAsia="Arial" w:hAnsi="Arial"/>
                <w:sz w:val="10"/>
                <w:szCs w:val="10"/>
                <w:color w:val="auto"/>
              </w:rPr>
              <w:t>3.92 %</w:t>
            </w: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1,958,011</w:t>
            </w: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21,527</w:t>
            </w:r>
          </w:p>
        </w:tc>
        <w:tc>
          <w:tcPr>
            <w:tcW w:w="860" w:type="dxa"/>
            <w:vAlign w:val="bottom"/>
          </w:tcPr>
          <w:p>
            <w:pPr>
              <w:jc w:val="right"/>
              <w:spacing w:after="0"/>
              <w:rPr>
                <w:sz w:val="20"/>
                <w:szCs w:val="20"/>
                <w:color w:val="auto"/>
              </w:rPr>
            </w:pPr>
            <w:r>
              <w:rPr>
                <w:rFonts w:ascii="Arial" w:cs="Arial" w:eastAsia="Arial" w:hAnsi="Arial"/>
                <w:sz w:val="10"/>
                <w:szCs w:val="10"/>
                <w:color w:val="auto"/>
              </w:rPr>
              <w:t>4.36 %</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(123,238)</w:t>
            </w:r>
          </w:p>
        </w:tc>
        <w:tc>
          <w:tcPr>
            <w:tcW w:w="860" w:type="dxa"/>
            <w:vAlign w:val="bottom"/>
          </w:tcPr>
          <w:p>
            <w:pPr>
              <w:jc w:val="right"/>
              <w:spacing w:after="0"/>
              <w:rPr>
                <w:sz w:val="20"/>
                <w:szCs w:val="20"/>
                <w:color w:val="auto"/>
              </w:rPr>
            </w:pPr>
            <w:r>
              <w:rPr>
                <w:rFonts w:ascii="Arial" w:cs="Arial" w:eastAsia="Arial" w:hAnsi="Arial"/>
                <w:sz w:val="10"/>
                <w:szCs w:val="10"/>
                <w:color w:val="auto"/>
              </w:rPr>
              <w:t>(0.44)%</w:t>
            </w:r>
          </w:p>
        </w:tc>
        <w:tc>
          <w:tcPr>
            <w:tcW w:w="0" w:type="dxa"/>
            <w:vAlign w:val="bottom"/>
          </w:tcPr>
          <w:p>
            <w:pPr>
              <w:spacing w:after="0"/>
              <w:rPr>
                <w:sz w:val="1"/>
                <w:szCs w:val="1"/>
                <w:color w:val="auto"/>
              </w:rPr>
            </w:pPr>
          </w:p>
        </w:tc>
      </w:tr>
      <w:tr>
        <w:trPr>
          <w:trHeight w:val="124"/>
        </w:trPr>
        <w:tc>
          <w:tcPr>
            <w:tcW w:w="2900" w:type="dxa"/>
            <w:vAlign w:val="bottom"/>
            <w:gridSpan w:val="2"/>
          </w:tcPr>
          <w:p>
            <w:pPr>
              <w:ind w:left="80"/>
              <w:spacing w:after="0"/>
              <w:rPr>
                <w:sz w:val="20"/>
                <w:szCs w:val="20"/>
                <w:color w:val="auto"/>
              </w:rPr>
            </w:pPr>
            <w:r>
              <w:rPr>
                <w:rFonts w:ascii="Arial" w:cs="Arial" w:eastAsia="Arial" w:hAnsi="Arial"/>
                <w:sz w:val="10"/>
                <w:szCs w:val="10"/>
                <w:color w:val="auto"/>
              </w:rPr>
              <w:t>Total interest-earning assets</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31,169,143</w:t>
            </w:r>
          </w:p>
        </w:tc>
        <w:tc>
          <w:tcPr>
            <w:tcW w:w="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416,948</w:t>
            </w:r>
          </w:p>
        </w:tc>
        <w:tc>
          <w:tcPr>
            <w:tcW w:w="880" w:type="dxa"/>
            <w:vAlign w:val="bottom"/>
          </w:tcPr>
          <w:p>
            <w:pPr>
              <w:jc w:val="right"/>
              <w:spacing w:after="0"/>
              <w:rPr>
                <w:sz w:val="20"/>
                <w:szCs w:val="20"/>
                <w:color w:val="auto"/>
              </w:rPr>
            </w:pPr>
            <w:r>
              <w:rPr>
                <w:rFonts w:ascii="Arial" w:cs="Arial" w:eastAsia="Arial" w:hAnsi="Arial"/>
                <w:sz w:val="10"/>
                <w:szCs w:val="10"/>
                <w:color w:val="auto"/>
              </w:rPr>
              <w:t>5.31 %</w:t>
            </w:r>
          </w:p>
        </w:tc>
        <w:tc>
          <w:tcPr>
            <w:tcW w:w="60" w:type="dxa"/>
            <w:vAlign w:val="bottom"/>
          </w:tcPr>
          <w:p>
            <w:pPr>
              <w:spacing w:after="0"/>
              <w:rPr>
                <w:sz w:val="10"/>
                <w:szCs w:val="10"/>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31,198,336</w:t>
            </w:r>
          </w:p>
        </w:tc>
        <w:tc>
          <w:tcPr>
            <w:tcW w:w="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432,541</w:t>
            </w:r>
          </w:p>
        </w:tc>
        <w:tc>
          <w:tcPr>
            <w:tcW w:w="860" w:type="dxa"/>
            <w:vAlign w:val="bottom"/>
          </w:tcPr>
          <w:p>
            <w:pPr>
              <w:jc w:val="right"/>
              <w:spacing w:after="0"/>
              <w:rPr>
                <w:sz w:val="20"/>
                <w:szCs w:val="20"/>
                <w:color w:val="auto"/>
              </w:rPr>
            </w:pPr>
            <w:r>
              <w:rPr>
                <w:rFonts w:ascii="Arial" w:cs="Arial" w:eastAsia="Arial" w:hAnsi="Arial"/>
                <w:sz w:val="10"/>
                <w:szCs w:val="10"/>
                <w:color w:val="auto"/>
              </w:rPr>
              <w:t>5.50 %</w:t>
            </w:r>
          </w:p>
        </w:tc>
        <w:tc>
          <w:tcPr>
            <w:tcW w:w="80" w:type="dxa"/>
            <w:vAlign w:val="bottom"/>
          </w:tcPr>
          <w:p>
            <w:pPr>
              <w:spacing w:after="0"/>
              <w:rPr>
                <w:sz w:val="10"/>
                <w:szCs w:val="10"/>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(29,193)</w:t>
            </w:r>
          </w:p>
        </w:tc>
        <w:tc>
          <w:tcPr>
            <w:tcW w:w="860" w:type="dxa"/>
            <w:vAlign w:val="bottom"/>
          </w:tcPr>
          <w:p>
            <w:pPr>
              <w:jc w:val="right"/>
              <w:spacing w:after="0"/>
              <w:rPr>
                <w:sz w:val="20"/>
                <w:szCs w:val="20"/>
                <w:color w:val="auto"/>
              </w:rPr>
            </w:pPr>
            <w:r>
              <w:rPr>
                <w:rFonts w:ascii="Arial" w:cs="Arial" w:eastAsia="Arial" w:hAnsi="Arial"/>
                <w:sz w:val="10"/>
                <w:szCs w:val="10"/>
                <w:color w:val="auto"/>
              </w:rPr>
              <w:t>(0.19)%</w:t>
            </w:r>
          </w:p>
        </w:tc>
        <w:tc>
          <w:tcPr>
            <w:tcW w:w="0" w:type="dxa"/>
            <w:vAlign w:val="bottom"/>
          </w:tcPr>
          <w:p>
            <w:pPr>
              <w:spacing w:after="0"/>
              <w:rPr>
                <w:sz w:val="1"/>
                <w:szCs w:val="1"/>
                <w:color w:val="auto"/>
              </w:rPr>
            </w:pPr>
          </w:p>
        </w:tc>
      </w:tr>
      <w:tr>
        <w:trPr>
          <w:trHeight w:val="263"/>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Liabilities: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900" w:type="dxa"/>
            <w:vAlign w:val="bottom"/>
            <w:gridSpan w:val="2"/>
          </w:tcPr>
          <w:p>
            <w:pPr>
              <w:spacing w:after="0"/>
              <w:rPr>
                <w:sz w:val="20"/>
                <w:szCs w:val="20"/>
                <w:color w:val="auto"/>
              </w:rPr>
            </w:pPr>
            <w:r>
              <w:rPr>
                <w:rFonts w:ascii="Arial" w:cs="Arial" w:eastAsia="Arial" w:hAnsi="Arial"/>
                <w:sz w:val="10"/>
                <w:szCs w:val="10"/>
                <w:color w:val="auto"/>
              </w:rPr>
              <w:t>Noninterest-bearing demand</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gridSpan w:val="2"/>
          </w:tcPr>
          <w:p>
            <w:pPr>
              <w:ind w:left="80"/>
              <w:spacing w:after="0"/>
              <w:rPr>
                <w:sz w:val="20"/>
                <w:szCs w:val="20"/>
                <w:color w:val="auto"/>
              </w:rPr>
            </w:pPr>
            <w:r>
              <w:rPr>
                <w:rFonts w:ascii="Arial" w:cs="Arial" w:eastAsia="Arial" w:hAnsi="Arial"/>
                <w:sz w:val="10"/>
                <w:szCs w:val="10"/>
                <w:color w:val="auto"/>
              </w:rPr>
              <w:t>deposits</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7,809,326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7,683,136</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126,190</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gridSpan w:val="2"/>
          </w:tcPr>
          <w:p>
            <w:pPr>
              <w:spacing w:after="0"/>
              <w:rPr>
                <w:sz w:val="20"/>
                <w:szCs w:val="20"/>
                <w:color w:val="auto"/>
              </w:rPr>
            </w:pPr>
            <w:r>
              <w:rPr>
                <w:rFonts w:ascii="Arial" w:cs="Arial" w:eastAsia="Arial" w:hAnsi="Arial"/>
                <w:sz w:val="10"/>
                <w:szCs w:val="10"/>
                <w:color w:val="auto"/>
              </w:rPr>
              <w:t>Total interest-bearing deposits</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19,406,865</w:t>
            </w:r>
          </w:p>
        </w:tc>
        <w:tc>
          <w:tcPr>
            <w:tcW w:w="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129,896</w:t>
            </w:r>
          </w:p>
        </w:tc>
        <w:tc>
          <w:tcPr>
            <w:tcW w:w="880" w:type="dxa"/>
            <w:vAlign w:val="bottom"/>
          </w:tcPr>
          <w:p>
            <w:pPr>
              <w:jc w:val="right"/>
              <w:spacing w:after="0"/>
              <w:rPr>
                <w:sz w:val="20"/>
                <w:szCs w:val="20"/>
                <w:color w:val="auto"/>
              </w:rPr>
            </w:pPr>
            <w:r>
              <w:rPr>
                <w:rFonts w:ascii="Arial" w:cs="Arial" w:eastAsia="Arial" w:hAnsi="Arial"/>
                <w:sz w:val="10"/>
                <w:szCs w:val="10"/>
                <w:color w:val="auto"/>
              </w:rPr>
              <w:t>2.66 %</w:t>
            </w: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19,608,906</w:t>
            </w:r>
          </w:p>
        </w:tc>
        <w:tc>
          <w:tcPr>
            <w:tcW w:w="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143,074</w:t>
            </w:r>
          </w:p>
        </w:tc>
        <w:tc>
          <w:tcPr>
            <w:tcW w:w="860" w:type="dxa"/>
            <w:vAlign w:val="bottom"/>
          </w:tcPr>
          <w:p>
            <w:pPr>
              <w:jc w:val="right"/>
              <w:spacing w:after="0"/>
              <w:rPr>
                <w:sz w:val="20"/>
                <w:szCs w:val="20"/>
                <w:color w:val="auto"/>
              </w:rPr>
            </w:pPr>
            <w:r>
              <w:rPr>
                <w:rFonts w:ascii="Arial" w:cs="Arial" w:eastAsia="Arial" w:hAnsi="Arial"/>
                <w:sz w:val="10"/>
                <w:szCs w:val="10"/>
                <w:color w:val="auto"/>
              </w:rPr>
              <w:t>2.89 %</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(202,041)</w:t>
            </w:r>
          </w:p>
        </w:tc>
        <w:tc>
          <w:tcPr>
            <w:tcW w:w="860" w:type="dxa"/>
            <w:vAlign w:val="bottom"/>
          </w:tcPr>
          <w:p>
            <w:pPr>
              <w:jc w:val="right"/>
              <w:spacing w:after="0"/>
              <w:rPr>
                <w:sz w:val="20"/>
                <w:szCs w:val="20"/>
                <w:color w:val="auto"/>
              </w:rPr>
            </w:pPr>
            <w:r>
              <w:rPr>
                <w:rFonts w:ascii="Arial" w:cs="Arial" w:eastAsia="Arial" w:hAnsi="Arial"/>
                <w:sz w:val="10"/>
                <w:szCs w:val="10"/>
                <w:color w:val="auto"/>
              </w:rPr>
              <w:t>(0.23)%</w:t>
            </w:r>
          </w:p>
        </w:tc>
        <w:tc>
          <w:tcPr>
            <w:tcW w:w="0" w:type="dxa"/>
            <w:vAlign w:val="bottom"/>
          </w:tcPr>
          <w:p>
            <w:pPr>
              <w:spacing w:after="0"/>
              <w:rPr>
                <w:sz w:val="1"/>
                <w:szCs w:val="1"/>
                <w:color w:val="auto"/>
              </w:rPr>
            </w:pPr>
          </w:p>
        </w:tc>
      </w:tr>
      <w:tr>
        <w:trPr>
          <w:trHeight w:val="127"/>
        </w:trPr>
        <w:tc>
          <w:tcPr>
            <w:tcW w:w="2900" w:type="dxa"/>
            <w:vAlign w:val="bottom"/>
            <w:gridSpan w:val="2"/>
          </w:tcPr>
          <w:p>
            <w:pPr>
              <w:ind w:left="80"/>
              <w:spacing w:after="0"/>
              <w:rPr>
                <w:sz w:val="20"/>
                <w:szCs w:val="20"/>
                <w:color w:val="auto"/>
              </w:rPr>
            </w:pPr>
            <w:r>
              <w:rPr>
                <w:rFonts w:ascii="Arial" w:cs="Arial" w:eastAsia="Arial" w:hAnsi="Arial"/>
                <w:sz w:val="10"/>
                <w:szCs w:val="10"/>
                <w:color w:val="auto"/>
              </w:rPr>
              <w:t>Total deposits</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27,216,191</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129,896</w:t>
            </w:r>
          </w:p>
        </w:tc>
        <w:tc>
          <w:tcPr>
            <w:tcW w:w="880" w:type="dxa"/>
            <w:vAlign w:val="bottom"/>
          </w:tcPr>
          <w:p>
            <w:pPr>
              <w:jc w:val="right"/>
              <w:spacing w:after="0"/>
              <w:rPr>
                <w:sz w:val="20"/>
                <w:szCs w:val="20"/>
                <w:color w:val="auto"/>
              </w:rPr>
            </w:pPr>
            <w:r>
              <w:rPr>
                <w:rFonts w:ascii="Arial" w:cs="Arial" w:eastAsia="Arial" w:hAnsi="Arial"/>
                <w:sz w:val="10"/>
                <w:szCs w:val="10"/>
                <w:color w:val="auto"/>
              </w:rPr>
              <w:t>1.89 %</w:t>
            </w:r>
          </w:p>
        </w:tc>
        <w:tc>
          <w:tcPr>
            <w:tcW w:w="60" w:type="dxa"/>
            <w:vAlign w:val="bottom"/>
          </w:tcPr>
          <w:p>
            <w:pPr>
              <w:spacing w:after="0"/>
              <w:rPr>
                <w:sz w:val="11"/>
                <w:szCs w:val="11"/>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27,292,042</w:t>
            </w: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143,074</w:t>
            </w:r>
          </w:p>
        </w:tc>
        <w:tc>
          <w:tcPr>
            <w:tcW w:w="860" w:type="dxa"/>
            <w:vAlign w:val="bottom"/>
          </w:tcPr>
          <w:p>
            <w:pPr>
              <w:jc w:val="right"/>
              <w:spacing w:after="0"/>
              <w:rPr>
                <w:sz w:val="20"/>
                <w:szCs w:val="20"/>
                <w:color w:val="auto"/>
              </w:rPr>
            </w:pPr>
            <w:r>
              <w:rPr>
                <w:rFonts w:ascii="Arial" w:cs="Arial" w:eastAsia="Arial" w:hAnsi="Arial"/>
                <w:sz w:val="10"/>
                <w:szCs w:val="10"/>
                <w:color w:val="auto"/>
              </w:rPr>
              <w:t>2.08 %</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(75,851)</w:t>
            </w:r>
          </w:p>
        </w:tc>
        <w:tc>
          <w:tcPr>
            <w:tcW w:w="860" w:type="dxa"/>
            <w:vAlign w:val="bottom"/>
          </w:tcPr>
          <w:p>
            <w:pPr>
              <w:jc w:val="right"/>
              <w:spacing w:after="0"/>
              <w:rPr>
                <w:sz w:val="20"/>
                <w:szCs w:val="20"/>
                <w:color w:val="auto"/>
              </w:rPr>
            </w:pPr>
            <w:r>
              <w:rPr>
                <w:rFonts w:ascii="Arial" w:cs="Arial" w:eastAsia="Arial" w:hAnsi="Arial"/>
                <w:sz w:val="10"/>
                <w:szCs w:val="10"/>
                <w:color w:val="auto"/>
              </w:rPr>
              <w:t>(0.19)%</w:t>
            </w:r>
          </w:p>
        </w:tc>
        <w:tc>
          <w:tcPr>
            <w:tcW w:w="0" w:type="dxa"/>
            <w:vAlign w:val="bottom"/>
          </w:tcPr>
          <w:p>
            <w:pPr>
              <w:spacing w:after="0"/>
              <w:rPr>
                <w:sz w:val="1"/>
                <w:szCs w:val="1"/>
                <w:color w:val="auto"/>
              </w:rPr>
            </w:pPr>
          </w:p>
        </w:tc>
      </w:tr>
      <w:tr>
        <w:trPr>
          <w:trHeight w:val="256"/>
        </w:trPr>
        <w:tc>
          <w:tcPr>
            <w:tcW w:w="2900" w:type="dxa"/>
            <w:vAlign w:val="bottom"/>
            <w:gridSpan w:val="2"/>
          </w:tcPr>
          <w:p>
            <w:pPr>
              <w:spacing w:after="0"/>
              <w:rPr>
                <w:sz w:val="20"/>
                <w:szCs w:val="20"/>
                <w:color w:val="auto"/>
              </w:rPr>
            </w:pPr>
            <w:r>
              <w:rPr>
                <w:rFonts w:ascii="Arial" w:cs="Arial" w:eastAsia="Arial" w:hAnsi="Arial"/>
                <w:sz w:val="10"/>
                <w:szCs w:val="10"/>
                <w:color w:val="auto"/>
              </w:rPr>
              <w:t>Total interest-bearing liabilities</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22,020,144</w:t>
            </w:r>
          </w:p>
        </w:tc>
        <w:tc>
          <w:tcPr>
            <w:tcW w:w="40" w:type="dxa"/>
            <w:vAlign w:val="bottom"/>
          </w:tcPr>
          <w:p>
            <w:pPr>
              <w:spacing w:after="0"/>
              <w:rPr>
                <w:sz w:val="22"/>
                <w:szCs w:val="2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165,586</w:t>
            </w:r>
          </w:p>
        </w:tc>
        <w:tc>
          <w:tcPr>
            <w:tcW w:w="880" w:type="dxa"/>
            <w:vAlign w:val="bottom"/>
          </w:tcPr>
          <w:p>
            <w:pPr>
              <w:jc w:val="right"/>
              <w:spacing w:after="0"/>
              <w:rPr>
                <w:sz w:val="20"/>
                <w:szCs w:val="20"/>
                <w:color w:val="auto"/>
              </w:rPr>
            </w:pPr>
            <w:r>
              <w:rPr>
                <w:rFonts w:ascii="Arial" w:cs="Arial" w:eastAsia="Arial" w:hAnsi="Arial"/>
                <w:sz w:val="10"/>
                <w:szCs w:val="10"/>
                <w:color w:val="auto"/>
              </w:rPr>
              <w:t>2.98 %</w:t>
            </w:r>
          </w:p>
        </w:tc>
        <w:tc>
          <w:tcPr>
            <w:tcW w:w="60" w:type="dxa"/>
            <w:vAlign w:val="bottom"/>
          </w:tcPr>
          <w:p>
            <w:pPr>
              <w:spacing w:after="0"/>
              <w:rPr>
                <w:sz w:val="22"/>
                <w:szCs w:val="22"/>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22,264,293</w:t>
            </w:r>
          </w:p>
        </w:tc>
        <w:tc>
          <w:tcPr>
            <w:tcW w:w="20" w:type="dxa"/>
            <w:vAlign w:val="bottom"/>
          </w:tcPr>
          <w:p>
            <w:pPr>
              <w:spacing w:after="0"/>
              <w:rPr>
                <w:sz w:val="22"/>
                <w:szCs w:val="22"/>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179,097</w:t>
            </w:r>
          </w:p>
        </w:tc>
        <w:tc>
          <w:tcPr>
            <w:tcW w:w="860" w:type="dxa"/>
            <w:vAlign w:val="bottom"/>
          </w:tcPr>
          <w:p>
            <w:pPr>
              <w:jc w:val="right"/>
              <w:spacing w:after="0"/>
              <w:rPr>
                <w:sz w:val="20"/>
                <w:szCs w:val="20"/>
                <w:color w:val="auto"/>
              </w:rPr>
            </w:pPr>
            <w:r>
              <w:rPr>
                <w:rFonts w:ascii="Arial" w:cs="Arial" w:eastAsia="Arial" w:hAnsi="Arial"/>
                <w:sz w:val="10"/>
                <w:szCs w:val="10"/>
                <w:color w:val="auto"/>
              </w:rPr>
              <w:t>3.19 %</w:t>
            </w:r>
          </w:p>
        </w:tc>
        <w:tc>
          <w:tcPr>
            <w:tcW w:w="80" w:type="dxa"/>
            <w:vAlign w:val="bottom"/>
          </w:tcPr>
          <w:p>
            <w:pPr>
              <w:spacing w:after="0"/>
              <w:rPr>
                <w:sz w:val="22"/>
                <w:szCs w:val="2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(244,149)</w:t>
            </w:r>
          </w:p>
        </w:tc>
        <w:tc>
          <w:tcPr>
            <w:tcW w:w="860" w:type="dxa"/>
            <w:vAlign w:val="bottom"/>
          </w:tcPr>
          <w:p>
            <w:pPr>
              <w:jc w:val="right"/>
              <w:spacing w:after="0"/>
              <w:rPr>
                <w:sz w:val="20"/>
                <w:szCs w:val="20"/>
                <w:color w:val="auto"/>
              </w:rPr>
            </w:pPr>
            <w:r>
              <w:rPr>
                <w:rFonts w:ascii="Arial" w:cs="Arial" w:eastAsia="Arial" w:hAnsi="Arial"/>
                <w:sz w:val="10"/>
                <w:szCs w:val="10"/>
                <w:color w:val="auto"/>
              </w:rPr>
              <w:t>(0.21)%</w:t>
            </w: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Arial" w:cs="Arial" w:eastAsia="Arial" w:hAnsi="Arial"/>
                <w:sz w:val="10"/>
                <w:szCs w:val="10"/>
                <w:color w:val="auto"/>
              </w:rPr>
              <w:t>Net interest income</w:t>
            </w:r>
            <w:r>
              <w:rPr>
                <w:rFonts w:ascii="Arial" w:cs="Arial" w:eastAsia="Arial" w:hAnsi="Arial"/>
                <w:sz w:val="12"/>
                <w:szCs w:val="12"/>
                <w:color w:val="auto"/>
                <w:vertAlign w:val="superscript"/>
              </w:rPr>
              <w:t>(1)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251,362</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253,444</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0"/>
                <w:szCs w:val="10"/>
                <w:color w:val="auto"/>
              </w:rPr>
              <w:t>Net interest margin</w:t>
            </w: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3.20 %</w:t>
            </w: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3.22 %</w:t>
            </w: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(0.02)%</w:t>
            </w:r>
          </w:p>
        </w:tc>
        <w:tc>
          <w:tcPr>
            <w:tcW w:w="0" w:type="dxa"/>
            <w:vAlign w:val="bottom"/>
          </w:tcPr>
          <w:p>
            <w:pPr>
              <w:spacing w:after="0" w:line="20" w:lineRule="exact"/>
              <w:rPr>
                <w:sz w:val="1"/>
                <w:szCs w:val="1"/>
                <w:color w:val="auto"/>
              </w:rPr>
            </w:pPr>
          </w:p>
        </w:tc>
      </w:tr>
      <w:tr>
        <w:trPr>
          <w:trHeight w:val="87"/>
        </w:trPr>
        <w:tc>
          <w:tcPr>
            <w:tcW w:w="29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2900" w:type="dxa"/>
            <w:vAlign w:val="bottom"/>
            <w:gridSpan w:val="2"/>
          </w:tcPr>
          <w:p>
            <w:pPr>
              <w:spacing w:after="0"/>
              <w:rPr>
                <w:sz w:val="20"/>
                <w:szCs w:val="20"/>
                <w:color w:val="auto"/>
              </w:rPr>
            </w:pPr>
            <w:r>
              <w:rPr>
                <w:rFonts w:ascii="Arial" w:cs="Arial" w:eastAsia="Arial" w:hAnsi="Arial"/>
                <w:sz w:val="10"/>
                <w:szCs w:val="10"/>
                <w:color w:val="auto"/>
              </w:rPr>
              <w:t>Total funds</w:t>
            </w:r>
            <w:r>
              <w:rPr>
                <w:rFonts w:ascii="Arial" w:cs="Arial" w:eastAsia="Arial" w:hAnsi="Arial"/>
                <w:sz w:val="12"/>
                <w:szCs w:val="12"/>
                <w:color w:val="auto"/>
                <w:vertAlign w:val="superscript"/>
              </w:rPr>
              <w:t>(2)</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29,829,470</w:t>
            </w:r>
          </w:p>
        </w:tc>
        <w:tc>
          <w:tcPr>
            <w:tcW w:w="24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165,586</w:t>
            </w:r>
          </w:p>
        </w:tc>
        <w:tc>
          <w:tcPr>
            <w:tcW w:w="880" w:type="dxa"/>
            <w:vAlign w:val="bottom"/>
          </w:tcPr>
          <w:p>
            <w:pPr>
              <w:jc w:val="right"/>
              <w:spacing w:after="0"/>
              <w:rPr>
                <w:sz w:val="20"/>
                <w:szCs w:val="20"/>
                <w:color w:val="auto"/>
              </w:rPr>
            </w:pPr>
            <w:r>
              <w:rPr>
                <w:rFonts w:ascii="Arial" w:cs="Arial" w:eastAsia="Arial" w:hAnsi="Arial"/>
                <w:sz w:val="10"/>
                <w:szCs w:val="10"/>
                <w:color w:val="auto"/>
              </w:rPr>
              <w:t>2.20 %</w:t>
            </w:r>
          </w:p>
        </w:tc>
        <w:tc>
          <w:tcPr>
            <w:tcW w:w="60" w:type="dxa"/>
            <w:vAlign w:val="bottom"/>
          </w:tcPr>
          <w:p>
            <w:pPr>
              <w:spacing w:after="0"/>
              <w:rPr>
                <w:sz w:val="24"/>
                <w:szCs w:val="24"/>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29,947,429</w:t>
            </w:r>
          </w:p>
        </w:tc>
        <w:tc>
          <w:tcPr>
            <w:tcW w:w="24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179,097</w:t>
            </w:r>
          </w:p>
        </w:tc>
        <w:tc>
          <w:tcPr>
            <w:tcW w:w="860" w:type="dxa"/>
            <w:vAlign w:val="bottom"/>
          </w:tcPr>
          <w:p>
            <w:pPr>
              <w:jc w:val="right"/>
              <w:spacing w:after="0"/>
              <w:rPr>
                <w:sz w:val="20"/>
                <w:szCs w:val="20"/>
                <w:color w:val="auto"/>
              </w:rPr>
            </w:pPr>
            <w:r>
              <w:rPr>
                <w:rFonts w:ascii="Arial" w:cs="Arial" w:eastAsia="Arial" w:hAnsi="Arial"/>
                <w:sz w:val="10"/>
                <w:szCs w:val="10"/>
                <w:color w:val="auto"/>
              </w:rPr>
              <w:t>2.37 %</w:t>
            </w:r>
          </w:p>
        </w:tc>
        <w:tc>
          <w:tcPr>
            <w:tcW w:w="80" w:type="dxa"/>
            <w:vAlign w:val="bottom"/>
          </w:tcPr>
          <w:p>
            <w:pPr>
              <w:spacing w:after="0"/>
              <w:rPr>
                <w:sz w:val="24"/>
                <w:szCs w:val="2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(117,959)</w:t>
            </w:r>
          </w:p>
        </w:tc>
        <w:tc>
          <w:tcPr>
            <w:tcW w:w="860" w:type="dxa"/>
            <w:vAlign w:val="bottom"/>
          </w:tcPr>
          <w:p>
            <w:pPr>
              <w:jc w:val="right"/>
              <w:spacing w:after="0"/>
              <w:rPr>
                <w:sz w:val="20"/>
                <w:szCs w:val="20"/>
                <w:color w:val="auto"/>
              </w:rPr>
            </w:pPr>
            <w:r>
              <w:rPr>
                <w:rFonts w:ascii="Arial" w:cs="Arial" w:eastAsia="Arial" w:hAnsi="Arial"/>
                <w:sz w:val="10"/>
                <w:szCs w:val="10"/>
                <w:color w:val="auto"/>
              </w:rPr>
              <w:t>(0.17)%</w:t>
            </w:r>
          </w:p>
        </w:tc>
        <w:tc>
          <w:tcPr>
            <w:tcW w:w="0" w:type="dxa"/>
            <w:vAlign w:val="bottom"/>
          </w:tcPr>
          <w:p>
            <w:pPr>
              <w:spacing w:after="0"/>
              <w:rPr>
                <w:sz w:val="1"/>
                <w:szCs w:val="1"/>
                <w:color w:val="auto"/>
              </w:rPr>
            </w:pPr>
          </w:p>
        </w:tc>
      </w:tr>
      <w:tr>
        <w:trPr>
          <w:trHeight w:val="176"/>
        </w:trPr>
        <w:tc>
          <w:tcPr>
            <w:tcW w:w="2900" w:type="dxa"/>
            <w:vAlign w:val="bottom"/>
            <w:gridSpan w:val="2"/>
          </w:tcPr>
          <w:p>
            <w:pPr>
              <w:spacing w:after="0"/>
              <w:rPr>
                <w:sz w:val="20"/>
                <w:szCs w:val="20"/>
                <w:color w:val="auto"/>
              </w:rPr>
            </w:pPr>
            <w:r>
              <w:rPr>
                <w:rFonts w:ascii="Arial" w:cs="Arial" w:eastAsia="Arial" w:hAnsi="Arial"/>
                <w:sz w:val="12"/>
                <w:szCs w:val="12"/>
                <w:color w:val="6D6D6D"/>
              </w:rPr>
              <w:t>______________</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48" w:hanging="148"/>
        <w:spacing w:after="0" w:line="227" w:lineRule="auto"/>
        <w:tabs>
          <w:tab w:leader="none" w:pos="148" w:val="left"/>
        </w:tabs>
        <w:numPr>
          <w:ilvl w:val="0"/>
          <w:numId w:val="5"/>
        </w:numPr>
        <w:rPr>
          <w:rFonts w:ascii="Arial" w:cs="Arial" w:eastAsia="Arial" w:hAnsi="Arial"/>
          <w:sz w:val="10"/>
          <w:szCs w:val="10"/>
          <w:color w:val="6D6D6D"/>
        </w:rPr>
      </w:pPr>
      <w:r>
        <w:rPr>
          <w:rFonts w:ascii="Arial" w:cs="Arial" w:eastAsia="Arial" w:hAnsi="Arial"/>
          <w:sz w:val="10"/>
          <w:szCs w:val="10"/>
          <w:color w:val="6D6D6D"/>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Includes net loan discount accretion of $12.7 million and $19.3 million for the three months ended December 31, 2025 and September 30, 2025.</w:t>
      </w:r>
    </w:p>
    <w:p>
      <w:pPr>
        <w:ind w:left="148" w:hanging="148"/>
        <w:spacing w:after="0"/>
        <w:tabs>
          <w:tab w:leader="none" w:pos="148" w:val="left"/>
        </w:tabs>
        <w:numPr>
          <w:ilvl w:val="0"/>
          <w:numId w:val="5"/>
        </w:numPr>
        <w:rPr>
          <w:rFonts w:ascii="Arial" w:cs="Arial" w:eastAsia="Arial" w:hAnsi="Arial"/>
          <w:sz w:val="10"/>
          <w:szCs w:val="10"/>
          <w:color w:val="6D6D6D"/>
        </w:rPr>
      </w:pPr>
      <w:r>
        <w:rPr>
          <w:rFonts w:ascii="Arial" w:cs="Arial" w:eastAsia="Arial" w:hAnsi="Arial"/>
          <w:sz w:val="10"/>
          <w:szCs w:val="10"/>
          <w:color w:val="6D6D6D"/>
        </w:rPr>
        <w:t>Total funds is the sum of total interest-bearing liabilities and noninterest-bearing demand deposits. The cost of total funds is calculated as annualized total interest expense divided by average total funds.</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 xml:space="preserve">Full Year </w:t>
      </w:r>
      <w:r>
        <w:rPr>
          <w:rFonts w:ascii="Arial" w:cs="Arial" w:eastAsia="Arial" w:hAnsi="Arial"/>
          <w:sz w:val="12"/>
          <w:szCs w:val="12"/>
          <w:u w:val="single" w:color="auto"/>
          <w:color w:val="auto"/>
        </w:rPr>
        <w:t>2025</w:t>
      </w:r>
      <w:r>
        <w:rPr>
          <w:rFonts w:ascii="Arial" w:cs="Arial" w:eastAsia="Arial" w:hAnsi="Arial"/>
          <w:sz w:val="12"/>
          <w:szCs w:val="12"/>
          <w:i w:val="1"/>
          <w:iCs w:val="1"/>
          <w:u w:val="single" w:color="auto"/>
          <w:color w:val="auto"/>
        </w:rPr>
        <w:t xml:space="preserve"> vs Full Year </w:t>
      </w:r>
      <w:r>
        <w:rPr>
          <w:rFonts w:ascii="Arial" w:cs="Arial" w:eastAsia="Arial" w:hAnsi="Arial"/>
          <w:sz w:val="12"/>
          <w:szCs w:val="12"/>
          <w:u w:val="single" w:color="auto"/>
          <w:color w:val="auto"/>
        </w:rPr>
        <w:t>2024</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Net interest income increased by $51.3 million to $977.4 million for the year ended December 31, 2025 from $926.1 million for the year ended December 31, 2024 attributable primarily to the following:</w:t>
      </w:r>
    </w:p>
    <w:p>
      <w:pPr>
        <w:spacing w:after="0" w:line="78" w:lineRule="exact"/>
        <w:rPr>
          <w:sz w:val="20"/>
          <w:szCs w:val="20"/>
          <w:color w:val="auto"/>
        </w:rPr>
      </w:pPr>
    </w:p>
    <w:p>
      <w:pPr>
        <w:ind w:left="208" w:hanging="208"/>
        <w:spacing w:after="0" w:line="286" w:lineRule="auto"/>
        <w:tabs>
          <w:tab w:leader="none" w:pos="205" w:val="left"/>
        </w:tabs>
        <w:numPr>
          <w:ilvl w:val="0"/>
          <w:numId w:val="6"/>
        </w:numPr>
        <w:rPr>
          <w:rFonts w:ascii="Arial" w:cs="Arial" w:eastAsia="Arial" w:hAnsi="Arial"/>
          <w:sz w:val="12"/>
          <w:szCs w:val="12"/>
          <w:color w:val="auto"/>
        </w:rPr>
      </w:pPr>
      <w:r>
        <w:rPr>
          <w:rFonts w:ascii="Arial" w:cs="Arial" w:eastAsia="Arial" w:hAnsi="Arial"/>
          <w:sz w:val="12"/>
          <w:szCs w:val="12"/>
          <w:color w:val="auto"/>
        </w:rPr>
        <w:t>A decrease of $157.5 million in interest expense on deposits due primarily to lower interest paid on interest-bearing deposits as a result of deposit rate repricing driven by the federal funds rate cuts of 100 basis points in the second half of 2024 and 75 basis points in the second half of 2025 and lower average balances including the paydown of brokered deposits.</w:t>
      </w:r>
    </w:p>
    <w:p>
      <w:pPr>
        <w:spacing w:after="0" w:line="31" w:lineRule="exact"/>
        <w:rPr>
          <w:rFonts w:ascii="Arial" w:cs="Arial" w:eastAsia="Arial" w:hAnsi="Arial"/>
          <w:sz w:val="12"/>
          <w:szCs w:val="12"/>
          <w:color w:val="auto"/>
        </w:rPr>
      </w:pPr>
    </w:p>
    <w:p>
      <w:pPr>
        <w:ind w:left="208" w:right="120" w:hanging="208"/>
        <w:spacing w:after="0" w:line="286" w:lineRule="auto"/>
        <w:tabs>
          <w:tab w:leader="none" w:pos="205" w:val="left"/>
        </w:tabs>
        <w:numPr>
          <w:ilvl w:val="0"/>
          <w:numId w:val="6"/>
        </w:numPr>
        <w:rPr>
          <w:rFonts w:ascii="Arial" w:cs="Arial" w:eastAsia="Arial" w:hAnsi="Arial"/>
          <w:sz w:val="12"/>
          <w:szCs w:val="12"/>
          <w:color w:val="auto"/>
        </w:rPr>
      </w:pPr>
      <w:r>
        <w:rPr>
          <w:rFonts w:ascii="Arial" w:cs="Arial" w:eastAsia="Arial" w:hAnsi="Arial"/>
          <w:sz w:val="12"/>
          <w:szCs w:val="12"/>
          <w:color w:val="auto"/>
        </w:rPr>
        <w:t>A decrease of $25.6 million in interest expense on borrowings driven by lower average balances resulting from the payoff of higher-cost borrowings in 2024, which were partially replaced with lower-cost long-term FHLB advances and lower market interest rates.</w:t>
      </w:r>
    </w:p>
    <w:p>
      <w:pPr>
        <w:spacing w:after="0" w:line="31" w:lineRule="exact"/>
        <w:rPr>
          <w:rFonts w:ascii="Arial" w:cs="Arial" w:eastAsia="Arial" w:hAnsi="Arial"/>
          <w:sz w:val="12"/>
          <w:szCs w:val="12"/>
          <w:color w:val="auto"/>
        </w:rPr>
      </w:pPr>
    </w:p>
    <w:p>
      <w:pPr>
        <w:ind w:left="208" w:hanging="208"/>
        <w:spacing w:after="0"/>
        <w:tabs>
          <w:tab w:leader="none" w:pos="208" w:val="left"/>
        </w:tabs>
        <w:numPr>
          <w:ilvl w:val="0"/>
          <w:numId w:val="6"/>
        </w:numPr>
        <w:rPr>
          <w:rFonts w:ascii="Arial" w:cs="Arial" w:eastAsia="Arial" w:hAnsi="Arial"/>
          <w:sz w:val="12"/>
          <w:szCs w:val="12"/>
          <w:color w:val="auto"/>
        </w:rPr>
      </w:pPr>
      <w:r>
        <w:rPr>
          <w:rFonts w:ascii="Arial" w:cs="Arial" w:eastAsia="Arial" w:hAnsi="Arial"/>
          <w:sz w:val="12"/>
          <w:szCs w:val="12"/>
          <w:color w:val="auto"/>
        </w:rPr>
        <w:t>An increase of $12.5 million in interest income from investment securities reflecting the benefits from 2024 balance sheet repositioning actions and reinvestment in higher-yield securities.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was offset partially by:</w:t>
      </w:r>
    </w:p>
    <w:p>
      <w:pPr>
        <w:spacing w:after="0" w:line="78"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2"/>
          <w:szCs w:val="12"/>
          <w:color w:val="auto"/>
        </w:rPr>
      </w:pPr>
      <w:r>
        <w:rPr>
          <w:rFonts w:ascii="Arial" w:cs="Arial" w:eastAsia="Arial" w:hAnsi="Arial"/>
          <w:sz w:val="12"/>
          <w:szCs w:val="12"/>
          <w:color w:val="auto"/>
        </w:rPr>
        <w:t>A decrease of $87.4 million in interest income from deposits in financial institutions driven by lower balances, as we maintained a lower cash target level and lower market interest rates.</w:t>
      </w:r>
    </w:p>
    <w:p>
      <w:pPr>
        <w:spacing w:after="0" w:line="78" w:lineRule="exact"/>
        <w:rPr>
          <w:rFonts w:ascii="Arial" w:cs="Arial" w:eastAsia="Arial" w:hAnsi="Arial"/>
          <w:sz w:val="12"/>
          <w:szCs w:val="12"/>
          <w:color w:val="auto"/>
        </w:rPr>
      </w:pPr>
    </w:p>
    <w:p>
      <w:pPr>
        <w:ind w:left="208" w:right="280" w:hanging="208"/>
        <w:spacing w:after="0" w:line="286" w:lineRule="auto"/>
        <w:tabs>
          <w:tab w:leader="none" w:pos="205" w:val="left"/>
        </w:tabs>
        <w:numPr>
          <w:ilvl w:val="0"/>
          <w:numId w:val="7"/>
        </w:numPr>
        <w:rPr>
          <w:rFonts w:ascii="Arial" w:cs="Arial" w:eastAsia="Arial" w:hAnsi="Arial"/>
          <w:sz w:val="12"/>
          <w:szCs w:val="12"/>
          <w:color w:val="auto"/>
        </w:rPr>
      </w:pPr>
      <w:r>
        <w:rPr>
          <w:rFonts w:ascii="Arial" w:cs="Arial" w:eastAsia="Arial" w:hAnsi="Arial"/>
          <w:sz w:val="12"/>
          <w:szCs w:val="12"/>
          <w:color w:val="auto"/>
        </w:rPr>
        <w:t>A decrease of $61.1 million in interest income from loans due primarily to lower market interest rates reflective of federal funds rate cuts, lower average balances attributable mainly to our July 2024 sale of $1.95 billion of Civic loans, and by lower net loan discount accretion income.</w:t>
      </w:r>
    </w:p>
    <w:p>
      <w:pPr>
        <w:spacing w:after="0" w:line="31" w:lineRule="exact"/>
        <w:rPr>
          <w:sz w:val="20"/>
          <w:szCs w:val="20"/>
          <w:color w:val="auto"/>
        </w:rPr>
      </w:pPr>
    </w:p>
    <w:p>
      <w:pPr>
        <w:ind w:left="8" w:right="240"/>
        <w:spacing w:after="0" w:line="286" w:lineRule="auto"/>
        <w:rPr>
          <w:sz w:val="20"/>
          <w:szCs w:val="20"/>
          <w:color w:val="auto"/>
        </w:rPr>
      </w:pPr>
      <w:r>
        <w:rPr>
          <w:rFonts w:ascii="Arial" w:cs="Arial" w:eastAsia="Arial" w:hAnsi="Arial"/>
          <w:sz w:val="12"/>
          <w:szCs w:val="12"/>
          <w:color w:val="auto"/>
        </w:rPr>
        <w:t>The net interest margin was 3.15% for the year ended December 31, 2025, up 30 basis points from 2.85% for the year ended December 31, 2024. The year-over-year improvement was primarily driven by a 49 basis point decrease in the average total cost of funds to 2.35%, offset partially by an 18 basis point decrease in the average yield on interest-earning assets to 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548640"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4</w:t>
      </w:r>
    </w:p>
    <w:p>
      <w:pPr>
        <w:sectPr>
          <w:pgSz w:w="11900" w:h="16838" w:orient="portrait"/>
          <w:cols w:equalWidth="0" w:num="1">
            <w:col w:w="11288"/>
          </w:cols>
          <w:pgMar w:left="292" w:top="907" w:right="319" w:bottom="1440" w:gutter="0" w:footer="0" w:header="0"/>
        </w:sectPr>
      </w:pPr>
    </w:p>
    <w:bookmarkStart w:id="8" w:name="page9"/>
    <w:bookmarkEnd w:id="8"/>
    <w:p>
      <w:pPr>
        <w:ind w:left="8"/>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The average total cost of funds decreased by 49 basis points to 2.35%, driven mainly by lower market interest rates. The average cost of deposits declined by 47 basis points to 2.05%, reflecting the impact of federal funds rate cuts in the second half of 2024 and second half of 2025. Average total deposits decreased by $1.2 billion year over year, including a $1.1 billion reduction in average interest-bearing deposits and a $ 132.0 million decrease in average noninterest-bearing deposits. Despite this decline, average noninterest-bearing deposits represented 28.3% of average total deposits for the year ended December 31, 2025, up from 27.5% for the comparable period in 2024. The average cost of borrowings also decreased by 76 basis points to 4.92%, reflecting the paydown of higher-cost borrowings in the prior year and their replacement with lower-cost long-term FHLB advances.</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average yield on interest-earning assets declined by 18 basis points to 5.40%, due primarily to an 18 basis point decline in the average yield on loans and leases.</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0"/>
                <w:szCs w:val="10"/>
                <w:b w:val="1"/>
                <w:bCs w:val="1"/>
                <w:color w:val="auto"/>
              </w:rPr>
              <w:t>Increase (Decrease)</w:t>
            </w:r>
          </w:p>
        </w:tc>
        <w:tc>
          <w:tcPr>
            <w:tcW w:w="0" w:type="dxa"/>
            <w:vAlign w:val="bottom"/>
          </w:tcPr>
          <w:p>
            <w:pPr>
              <w:spacing w:after="0"/>
              <w:rPr>
                <w:sz w:val="1"/>
                <w:szCs w:val="1"/>
                <w:color w:val="auto"/>
              </w:rPr>
            </w:pPr>
          </w:p>
        </w:tc>
      </w:tr>
      <w:tr>
        <w:trPr>
          <w:trHeight w:val="123"/>
        </w:trPr>
        <w:tc>
          <w:tcPr>
            <w:tcW w:w="9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0"/>
                <w:szCs w:val="10"/>
                <w:b w:val="1"/>
                <w:bCs w:val="1"/>
                <w:color w:val="auto"/>
                <w:w w:val="97"/>
              </w:rPr>
              <w:t>December 31, 2025</w:t>
            </w: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December 31, 2024</w:t>
            </w: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YoY</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Summary</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152"/>
              <w:spacing w:after="0"/>
              <w:rPr>
                <w:sz w:val="20"/>
                <w:szCs w:val="20"/>
                <w:color w:val="auto"/>
              </w:rPr>
            </w:pPr>
            <w:r>
              <w:rPr>
                <w:rFonts w:ascii="Arial" w:cs="Arial" w:eastAsia="Arial" w:hAnsi="Arial"/>
                <w:sz w:val="10"/>
                <w:szCs w:val="10"/>
                <w:b w:val="1"/>
                <w:bCs w:val="1"/>
                <w:color w:val="auto"/>
                <w:w w:val="93"/>
              </w:rPr>
              <w:t>Interest</w:t>
            </w:r>
          </w:p>
        </w:tc>
        <w:tc>
          <w:tcPr>
            <w:tcW w:w="9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1"/>
              </w:rPr>
              <w:t>Average</w:t>
            </w: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72"/>
              <w:spacing w:after="0"/>
              <w:rPr>
                <w:sz w:val="20"/>
                <w:szCs w:val="20"/>
                <w:color w:val="auto"/>
              </w:rPr>
            </w:pPr>
            <w:r>
              <w:rPr>
                <w:rFonts w:ascii="Arial" w:cs="Arial" w:eastAsia="Arial" w:hAnsi="Arial"/>
                <w:sz w:val="10"/>
                <w:szCs w:val="10"/>
                <w:b w:val="1"/>
                <w:bCs w:val="1"/>
                <w:color w:val="auto"/>
                <w:w w:val="93"/>
              </w:rPr>
              <w:t>Interest</w:t>
            </w:r>
          </w:p>
        </w:tc>
        <w:tc>
          <w:tcPr>
            <w:tcW w:w="9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Average</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35"/>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Average Balance</w:t>
            </w:r>
          </w:p>
        </w:tc>
        <w:tc>
          <w:tcPr>
            <w:tcW w:w="220" w:type="dxa"/>
            <w:vAlign w:val="bottom"/>
          </w:tcPr>
          <w:p>
            <w:pPr>
              <w:spacing w:after="0"/>
              <w:rPr>
                <w:sz w:val="11"/>
                <w:szCs w:val="11"/>
                <w:color w:val="auto"/>
              </w:rPr>
            </w:pPr>
          </w:p>
        </w:tc>
        <w:tc>
          <w:tcPr>
            <w:tcW w:w="880" w:type="dxa"/>
            <w:vAlign w:val="bottom"/>
          </w:tcPr>
          <w:p>
            <w:pPr>
              <w:jc w:val="right"/>
              <w:ind w:right="292"/>
              <w:spacing w:after="0"/>
              <w:rPr>
                <w:sz w:val="20"/>
                <w:szCs w:val="20"/>
                <w:color w:val="auto"/>
              </w:rPr>
            </w:pPr>
            <w:r>
              <w:rPr>
                <w:rFonts w:ascii="Arial" w:cs="Arial" w:eastAsia="Arial" w:hAnsi="Arial"/>
                <w:sz w:val="10"/>
                <w:szCs w:val="10"/>
                <w:b w:val="1"/>
                <w:bCs w:val="1"/>
                <w:color w:val="auto"/>
              </w:rPr>
              <w:t>Average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152"/>
              <w:spacing w:after="0"/>
              <w:rPr>
                <w:sz w:val="20"/>
                <w:szCs w:val="20"/>
                <w:color w:val="auto"/>
              </w:rPr>
            </w:pPr>
            <w:r>
              <w:rPr>
                <w:rFonts w:ascii="Arial" w:cs="Arial" w:eastAsia="Arial" w:hAnsi="Arial"/>
                <w:sz w:val="10"/>
                <w:szCs w:val="10"/>
                <w:b w:val="1"/>
                <w:bCs w:val="1"/>
                <w:color w:val="auto"/>
              </w:rPr>
              <w:t>Income/</w:t>
            </w:r>
          </w:p>
        </w:tc>
        <w:tc>
          <w:tcPr>
            <w:tcW w:w="9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Yield/</w:t>
            </w:r>
          </w:p>
        </w:tc>
        <w:tc>
          <w:tcPr>
            <w:tcW w:w="320" w:type="dxa"/>
            <w:vAlign w:val="bottom"/>
          </w:tcPr>
          <w:p>
            <w:pPr>
              <w:spacing w:after="0"/>
              <w:rPr>
                <w:sz w:val="11"/>
                <w:szCs w:val="11"/>
                <w:color w:val="auto"/>
              </w:rPr>
            </w:pPr>
          </w:p>
        </w:tc>
        <w:tc>
          <w:tcPr>
            <w:tcW w:w="800" w:type="dxa"/>
            <w:vAlign w:val="bottom"/>
          </w:tcPr>
          <w:p>
            <w:pPr>
              <w:jc w:val="right"/>
              <w:ind w:right="312"/>
              <w:spacing w:after="0"/>
              <w:rPr>
                <w:sz w:val="20"/>
                <w:szCs w:val="20"/>
                <w:color w:val="auto"/>
              </w:rPr>
            </w:pPr>
            <w:r>
              <w:rPr>
                <w:rFonts w:ascii="Arial" w:cs="Arial" w:eastAsia="Arial" w:hAnsi="Arial"/>
                <w:sz w:val="10"/>
                <w:szCs w:val="10"/>
                <w:b w:val="1"/>
                <w:bCs w:val="1"/>
                <w:color w:val="auto"/>
              </w:rPr>
              <w:t>Average</w:t>
            </w:r>
          </w:p>
        </w:tc>
        <w:tc>
          <w:tcPr>
            <w:tcW w:w="220" w:type="dxa"/>
            <w:vAlign w:val="bottom"/>
          </w:tcPr>
          <w:p>
            <w:pPr>
              <w:spacing w:after="0"/>
              <w:rPr>
                <w:sz w:val="11"/>
                <w:szCs w:val="11"/>
                <w:color w:val="auto"/>
              </w:rPr>
            </w:pPr>
          </w:p>
        </w:tc>
        <w:tc>
          <w:tcPr>
            <w:tcW w:w="920" w:type="dxa"/>
            <w:vAlign w:val="bottom"/>
          </w:tcPr>
          <w:p>
            <w:pPr>
              <w:jc w:val="center"/>
              <w:ind w:right="152"/>
              <w:spacing w:after="0"/>
              <w:rPr>
                <w:sz w:val="20"/>
                <w:szCs w:val="20"/>
                <w:color w:val="auto"/>
              </w:rPr>
            </w:pPr>
            <w:r>
              <w:rPr>
                <w:rFonts w:ascii="Arial" w:cs="Arial" w:eastAsia="Arial" w:hAnsi="Arial"/>
                <w:sz w:val="10"/>
                <w:szCs w:val="10"/>
                <w:b w:val="1"/>
                <w:bCs w:val="1"/>
                <w:color w:val="auto"/>
                <w:w w:val="95"/>
              </w:rPr>
              <w:t>Income/</w:t>
            </w:r>
          </w:p>
        </w:tc>
        <w:tc>
          <w:tcPr>
            <w:tcW w:w="9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Yield/</w:t>
            </w:r>
          </w:p>
        </w:tc>
        <w:tc>
          <w:tcPr>
            <w:tcW w:w="220" w:type="dxa"/>
            <w:vAlign w:val="bottom"/>
          </w:tcPr>
          <w:p>
            <w:pPr>
              <w:spacing w:after="0"/>
              <w:rPr>
                <w:sz w:val="11"/>
                <w:szCs w:val="11"/>
                <w:color w:val="auto"/>
              </w:rPr>
            </w:pPr>
          </w:p>
        </w:tc>
        <w:tc>
          <w:tcPr>
            <w:tcW w:w="900" w:type="dxa"/>
            <w:vAlign w:val="bottom"/>
          </w:tcPr>
          <w:p>
            <w:pPr>
              <w:jc w:val="right"/>
              <w:ind w:right="332"/>
              <w:spacing w:after="0"/>
              <w:rPr>
                <w:sz w:val="20"/>
                <w:szCs w:val="20"/>
                <w:color w:val="auto"/>
              </w:rPr>
            </w:pPr>
            <w:r>
              <w:rPr>
                <w:rFonts w:ascii="Arial" w:cs="Arial" w:eastAsia="Arial" w:hAnsi="Arial"/>
                <w:sz w:val="10"/>
                <w:szCs w:val="10"/>
                <w:b w:val="1"/>
                <w:bCs w:val="1"/>
                <w:color w:val="auto"/>
              </w:rPr>
              <w:t>Average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7"/>
              </w:rPr>
              <w:t>Yield/</w:t>
            </w:r>
          </w:p>
        </w:tc>
        <w:tc>
          <w:tcPr>
            <w:tcW w:w="0" w:type="dxa"/>
            <w:vAlign w:val="bottom"/>
          </w:tcPr>
          <w:p>
            <w:pPr>
              <w:spacing w:after="0"/>
              <w:rPr>
                <w:sz w:val="1"/>
                <w:szCs w:val="1"/>
                <w:color w:val="auto"/>
              </w:rPr>
            </w:pPr>
          </w:p>
        </w:tc>
      </w:tr>
      <w:tr>
        <w:trPr>
          <w:trHeight w:val="110"/>
        </w:trPr>
        <w:tc>
          <w:tcPr>
            <w:tcW w:w="290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and Yield/Cost Data</w:t>
            </w:r>
          </w:p>
        </w:tc>
        <w:tc>
          <w:tcPr>
            <w:tcW w:w="220" w:type="dxa"/>
            <w:vAlign w:val="bottom"/>
          </w:tcPr>
          <w:p>
            <w:pPr>
              <w:spacing w:after="0"/>
              <w:rPr>
                <w:sz w:val="9"/>
                <w:szCs w:val="9"/>
                <w:color w:val="auto"/>
              </w:rPr>
            </w:pPr>
          </w:p>
        </w:tc>
        <w:tc>
          <w:tcPr>
            <w:tcW w:w="880" w:type="dxa"/>
            <w:vAlign w:val="bottom"/>
          </w:tcPr>
          <w:p>
            <w:pPr>
              <w:jc w:val="right"/>
              <w:ind w:right="292"/>
              <w:spacing w:after="0" w:line="110" w:lineRule="exact"/>
              <w:rPr>
                <w:sz w:val="20"/>
                <w:szCs w:val="20"/>
                <w:color w:val="auto"/>
              </w:rPr>
            </w:pPr>
            <w:r>
              <w:rPr>
                <w:rFonts w:ascii="Arial" w:cs="Arial" w:eastAsia="Arial" w:hAnsi="Arial"/>
                <w:sz w:val="10"/>
                <w:szCs w:val="10"/>
                <w:b w:val="1"/>
                <w:bCs w:val="1"/>
                <w:color w:val="auto"/>
              </w:rPr>
              <w:t>Balance</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152"/>
              <w:spacing w:after="0" w:line="110" w:lineRule="exact"/>
              <w:rPr>
                <w:sz w:val="20"/>
                <w:szCs w:val="20"/>
                <w:color w:val="auto"/>
              </w:rPr>
            </w:pPr>
            <w:r>
              <w:rPr>
                <w:rFonts w:ascii="Arial" w:cs="Arial" w:eastAsia="Arial" w:hAnsi="Arial"/>
                <w:sz w:val="10"/>
                <w:szCs w:val="10"/>
                <w:b w:val="1"/>
                <w:bCs w:val="1"/>
                <w:color w:val="auto"/>
                <w:w w:val="92"/>
              </w:rPr>
              <w:t>Expense</w:t>
            </w:r>
          </w:p>
        </w:tc>
        <w:tc>
          <w:tcPr>
            <w:tcW w:w="940" w:type="dxa"/>
            <w:vAlign w:val="bottom"/>
            <w:gridSpan w:val="2"/>
          </w:tcPr>
          <w:p>
            <w:pPr>
              <w:jc w:val="center"/>
              <w:ind w:right="60"/>
              <w:spacing w:after="0" w:line="110" w:lineRule="exact"/>
              <w:rPr>
                <w:sz w:val="20"/>
                <w:szCs w:val="20"/>
                <w:color w:val="auto"/>
              </w:rPr>
            </w:pPr>
            <w:r>
              <w:rPr>
                <w:rFonts w:ascii="Arial" w:cs="Arial" w:eastAsia="Arial" w:hAnsi="Arial"/>
                <w:sz w:val="10"/>
                <w:szCs w:val="10"/>
                <w:b w:val="1"/>
                <w:bCs w:val="1"/>
                <w:color w:val="auto"/>
                <w:w w:val="89"/>
              </w:rPr>
              <w:t>Cost</w:t>
            </w:r>
          </w:p>
        </w:tc>
        <w:tc>
          <w:tcPr>
            <w:tcW w:w="320" w:type="dxa"/>
            <w:vAlign w:val="bottom"/>
          </w:tcPr>
          <w:p>
            <w:pPr>
              <w:spacing w:after="0"/>
              <w:rPr>
                <w:sz w:val="9"/>
                <w:szCs w:val="9"/>
                <w:color w:val="auto"/>
              </w:rPr>
            </w:pPr>
          </w:p>
        </w:tc>
        <w:tc>
          <w:tcPr>
            <w:tcW w:w="800" w:type="dxa"/>
            <w:vAlign w:val="bottom"/>
          </w:tcPr>
          <w:p>
            <w:pPr>
              <w:jc w:val="right"/>
              <w:ind w:right="312"/>
              <w:spacing w:after="0" w:line="110" w:lineRule="exact"/>
              <w:rPr>
                <w:sz w:val="20"/>
                <w:szCs w:val="20"/>
                <w:color w:val="auto"/>
              </w:rPr>
            </w:pPr>
            <w:r>
              <w:rPr>
                <w:rFonts w:ascii="Arial" w:cs="Arial" w:eastAsia="Arial" w:hAnsi="Arial"/>
                <w:sz w:val="10"/>
                <w:szCs w:val="10"/>
                <w:b w:val="1"/>
                <w:bCs w:val="1"/>
                <w:color w:val="auto"/>
              </w:rPr>
              <w:t>Balance</w:t>
            </w:r>
          </w:p>
        </w:tc>
        <w:tc>
          <w:tcPr>
            <w:tcW w:w="220" w:type="dxa"/>
            <w:vAlign w:val="bottom"/>
          </w:tcPr>
          <w:p>
            <w:pPr>
              <w:spacing w:after="0"/>
              <w:rPr>
                <w:sz w:val="9"/>
                <w:szCs w:val="9"/>
                <w:color w:val="auto"/>
              </w:rPr>
            </w:pPr>
          </w:p>
        </w:tc>
        <w:tc>
          <w:tcPr>
            <w:tcW w:w="920" w:type="dxa"/>
            <w:vAlign w:val="bottom"/>
          </w:tcPr>
          <w:p>
            <w:pPr>
              <w:jc w:val="center"/>
              <w:ind w:right="172"/>
              <w:spacing w:after="0" w:line="110" w:lineRule="exact"/>
              <w:rPr>
                <w:sz w:val="20"/>
                <w:szCs w:val="20"/>
                <w:color w:val="auto"/>
              </w:rPr>
            </w:pPr>
            <w:r>
              <w:rPr>
                <w:rFonts w:ascii="Arial" w:cs="Arial" w:eastAsia="Arial" w:hAnsi="Arial"/>
                <w:sz w:val="10"/>
                <w:szCs w:val="10"/>
                <w:b w:val="1"/>
                <w:bCs w:val="1"/>
                <w:color w:val="auto"/>
                <w:w w:val="92"/>
              </w:rPr>
              <w:t>Expense</w:t>
            </w:r>
          </w:p>
        </w:tc>
        <w:tc>
          <w:tcPr>
            <w:tcW w:w="940" w:type="dxa"/>
            <w:vAlign w:val="bottom"/>
            <w:gridSpan w:val="2"/>
          </w:tcPr>
          <w:p>
            <w:pPr>
              <w:jc w:val="center"/>
              <w:ind w:right="80"/>
              <w:spacing w:after="0" w:line="110" w:lineRule="exact"/>
              <w:rPr>
                <w:sz w:val="20"/>
                <w:szCs w:val="20"/>
                <w:color w:val="auto"/>
              </w:rPr>
            </w:pPr>
            <w:r>
              <w:rPr>
                <w:rFonts w:ascii="Arial" w:cs="Arial" w:eastAsia="Arial" w:hAnsi="Arial"/>
                <w:sz w:val="10"/>
                <w:szCs w:val="10"/>
                <w:b w:val="1"/>
                <w:bCs w:val="1"/>
                <w:color w:val="auto"/>
                <w:w w:val="98"/>
              </w:rPr>
              <w:t>Cost</w:t>
            </w:r>
          </w:p>
        </w:tc>
        <w:tc>
          <w:tcPr>
            <w:tcW w:w="220" w:type="dxa"/>
            <w:vAlign w:val="bottom"/>
          </w:tcPr>
          <w:p>
            <w:pPr>
              <w:spacing w:after="0"/>
              <w:rPr>
                <w:sz w:val="9"/>
                <w:szCs w:val="9"/>
                <w:color w:val="auto"/>
              </w:rPr>
            </w:pPr>
          </w:p>
        </w:tc>
        <w:tc>
          <w:tcPr>
            <w:tcW w:w="900" w:type="dxa"/>
            <w:vAlign w:val="bottom"/>
          </w:tcPr>
          <w:p>
            <w:pPr>
              <w:jc w:val="right"/>
              <w:ind w:right="332"/>
              <w:spacing w:after="0" w:line="110" w:lineRule="exact"/>
              <w:rPr>
                <w:sz w:val="20"/>
                <w:szCs w:val="20"/>
                <w:color w:val="auto"/>
              </w:rPr>
            </w:pPr>
            <w:r>
              <w:rPr>
                <w:rFonts w:ascii="Arial" w:cs="Arial" w:eastAsia="Arial" w:hAnsi="Arial"/>
                <w:sz w:val="10"/>
                <w:szCs w:val="10"/>
                <w:b w:val="1"/>
                <w:bCs w:val="1"/>
                <w:color w:val="auto"/>
              </w:rPr>
              <w:t>Balance</w:t>
            </w:r>
          </w:p>
        </w:tc>
        <w:tc>
          <w:tcPr>
            <w:tcW w:w="86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Cost</w:t>
            </w:r>
          </w:p>
        </w:tc>
        <w:tc>
          <w:tcPr>
            <w:tcW w:w="0" w:type="dxa"/>
            <w:vAlign w:val="bottom"/>
          </w:tcPr>
          <w:p>
            <w:pPr>
              <w:spacing w:after="0"/>
              <w:rPr>
                <w:sz w:val="1"/>
                <w:szCs w:val="1"/>
                <w:color w:val="auto"/>
              </w:rPr>
            </w:pPr>
          </w:p>
        </w:tc>
      </w:tr>
      <w:tr>
        <w:trPr>
          <w:trHeight w:val="20"/>
        </w:trPr>
        <w:tc>
          <w:tcPr>
            <w:tcW w:w="90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gridSpan w:val="3"/>
          </w:tcPr>
          <w:p>
            <w:pPr>
              <w:jc w:val="right"/>
              <w:ind w:right="692"/>
              <w:spacing w:after="0" w:line="109" w:lineRule="exact"/>
              <w:rPr>
                <w:sz w:val="20"/>
                <w:szCs w:val="20"/>
                <w:color w:val="auto"/>
              </w:rPr>
            </w:pPr>
            <w:r>
              <w:rPr>
                <w:rFonts w:ascii="Arial" w:cs="Arial" w:eastAsia="Arial" w:hAnsi="Arial"/>
                <w:sz w:val="10"/>
                <w:szCs w:val="10"/>
                <w:b w:val="1"/>
                <w:bCs w:val="1"/>
                <w:i w:val="1"/>
                <w:iCs w:val="1"/>
                <w:color w:val="auto"/>
              </w:rPr>
              <w:t>(Dollars in thousands)</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Assets: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00" w:type="dxa"/>
            <w:vAlign w:val="bottom"/>
            <w:gridSpan w:val="2"/>
          </w:tcPr>
          <w:p>
            <w:pPr>
              <w:spacing w:after="0"/>
              <w:rPr>
                <w:sz w:val="20"/>
                <w:szCs w:val="20"/>
                <w:color w:val="auto"/>
              </w:rPr>
            </w:pPr>
            <w:r>
              <w:rPr>
                <w:rFonts w:ascii="Arial" w:cs="Arial" w:eastAsia="Arial" w:hAnsi="Arial"/>
                <w:sz w:val="10"/>
                <w:szCs w:val="10"/>
                <w:color w:val="auto"/>
              </w:rPr>
              <w:t>Loans and leases</w:t>
            </w:r>
            <w:r>
              <w:rPr>
                <w:rFonts w:ascii="Arial" w:cs="Arial" w:eastAsia="Arial" w:hAnsi="Arial"/>
                <w:sz w:val="12"/>
                <w:szCs w:val="12"/>
                <w:color w:val="auto"/>
                <w:vertAlign w:val="superscript"/>
              </w:rPr>
              <w:t>(1)</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24,300,808</w:t>
            </w:r>
          </w:p>
        </w:tc>
        <w:tc>
          <w:tcPr>
            <w:tcW w:w="24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1,440,397</w:t>
            </w:r>
          </w:p>
        </w:tc>
        <w:tc>
          <w:tcPr>
            <w:tcW w:w="880" w:type="dxa"/>
            <w:vAlign w:val="bottom"/>
          </w:tcPr>
          <w:p>
            <w:pPr>
              <w:jc w:val="right"/>
              <w:spacing w:after="0"/>
              <w:rPr>
                <w:sz w:val="20"/>
                <w:szCs w:val="20"/>
                <w:color w:val="auto"/>
              </w:rPr>
            </w:pPr>
            <w:r>
              <w:rPr>
                <w:rFonts w:ascii="Arial" w:cs="Arial" w:eastAsia="Arial" w:hAnsi="Arial"/>
                <w:sz w:val="10"/>
                <w:szCs w:val="10"/>
                <w:color w:val="auto"/>
              </w:rPr>
              <w:t>5.93 %</w:t>
            </w:r>
          </w:p>
        </w:tc>
        <w:tc>
          <w:tcPr>
            <w:tcW w:w="60" w:type="dxa"/>
            <w:vAlign w:val="bottom"/>
          </w:tcPr>
          <w:p>
            <w:pPr>
              <w:spacing w:after="0"/>
              <w:rPr>
                <w:sz w:val="12"/>
                <w:szCs w:val="12"/>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24,569,650</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1,501,534</w:t>
            </w:r>
          </w:p>
        </w:tc>
        <w:tc>
          <w:tcPr>
            <w:tcW w:w="860" w:type="dxa"/>
            <w:vAlign w:val="bottom"/>
          </w:tcPr>
          <w:p>
            <w:pPr>
              <w:jc w:val="right"/>
              <w:spacing w:after="0"/>
              <w:rPr>
                <w:sz w:val="20"/>
                <w:szCs w:val="20"/>
                <w:color w:val="auto"/>
              </w:rPr>
            </w:pPr>
            <w:r>
              <w:rPr>
                <w:rFonts w:ascii="Arial" w:cs="Arial" w:eastAsia="Arial" w:hAnsi="Arial"/>
                <w:sz w:val="10"/>
                <w:szCs w:val="10"/>
                <w:color w:val="auto"/>
              </w:rPr>
              <w:t>6.11 %</w:t>
            </w:r>
          </w:p>
        </w:tc>
        <w:tc>
          <w:tcPr>
            <w:tcW w:w="8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(268,842)</w:t>
            </w:r>
          </w:p>
        </w:tc>
        <w:tc>
          <w:tcPr>
            <w:tcW w:w="860" w:type="dxa"/>
            <w:vAlign w:val="bottom"/>
          </w:tcPr>
          <w:p>
            <w:pPr>
              <w:jc w:val="right"/>
              <w:spacing w:after="0"/>
              <w:rPr>
                <w:sz w:val="20"/>
                <w:szCs w:val="20"/>
                <w:color w:val="auto"/>
              </w:rPr>
            </w:pPr>
            <w:r>
              <w:rPr>
                <w:rFonts w:ascii="Arial" w:cs="Arial" w:eastAsia="Arial" w:hAnsi="Arial"/>
                <w:sz w:val="10"/>
                <w:szCs w:val="10"/>
                <w:color w:val="auto"/>
              </w:rPr>
              <w:t>(0.18)%</w:t>
            </w:r>
          </w:p>
        </w:tc>
        <w:tc>
          <w:tcPr>
            <w:tcW w:w="0" w:type="dxa"/>
            <w:vAlign w:val="bottom"/>
          </w:tcPr>
          <w:p>
            <w:pPr>
              <w:spacing w:after="0"/>
              <w:rPr>
                <w:sz w:val="1"/>
                <w:szCs w:val="1"/>
                <w:color w:val="auto"/>
              </w:rPr>
            </w:pPr>
          </w:p>
        </w:tc>
      </w:tr>
      <w:tr>
        <w:trPr>
          <w:trHeight w:val="125"/>
        </w:trPr>
        <w:tc>
          <w:tcPr>
            <w:tcW w:w="2900" w:type="dxa"/>
            <w:vAlign w:val="bottom"/>
            <w:gridSpan w:val="2"/>
          </w:tcPr>
          <w:p>
            <w:pPr>
              <w:spacing w:after="0"/>
              <w:rPr>
                <w:sz w:val="20"/>
                <w:szCs w:val="20"/>
                <w:color w:val="auto"/>
              </w:rPr>
            </w:pPr>
            <w:r>
              <w:rPr>
                <w:rFonts w:ascii="Arial" w:cs="Arial" w:eastAsia="Arial" w:hAnsi="Arial"/>
                <w:sz w:val="10"/>
                <w:szCs w:val="10"/>
                <w:color w:val="auto"/>
              </w:rPr>
              <w:t>Investment securities</w:t>
            </w:r>
          </w:p>
        </w:tc>
        <w:tc>
          <w:tcPr>
            <w:tcW w:w="2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4,782,267</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153,326</w:t>
            </w:r>
          </w:p>
        </w:tc>
        <w:tc>
          <w:tcPr>
            <w:tcW w:w="880" w:type="dxa"/>
            <w:vAlign w:val="bottom"/>
          </w:tcPr>
          <w:p>
            <w:pPr>
              <w:jc w:val="right"/>
              <w:spacing w:after="0"/>
              <w:rPr>
                <w:sz w:val="20"/>
                <w:szCs w:val="20"/>
                <w:color w:val="auto"/>
              </w:rPr>
            </w:pPr>
            <w:r>
              <w:rPr>
                <w:rFonts w:ascii="Arial" w:cs="Arial" w:eastAsia="Arial" w:hAnsi="Arial"/>
                <w:sz w:val="10"/>
                <w:szCs w:val="10"/>
                <w:color w:val="auto"/>
              </w:rPr>
              <w:t>3.21 %</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4,686,615</w:t>
            </w:r>
          </w:p>
        </w:tc>
        <w:tc>
          <w:tcPr>
            <w:tcW w:w="22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140,794</w:t>
            </w:r>
          </w:p>
        </w:tc>
        <w:tc>
          <w:tcPr>
            <w:tcW w:w="860" w:type="dxa"/>
            <w:vAlign w:val="bottom"/>
          </w:tcPr>
          <w:p>
            <w:pPr>
              <w:jc w:val="right"/>
              <w:spacing w:after="0"/>
              <w:rPr>
                <w:sz w:val="20"/>
                <w:szCs w:val="20"/>
                <w:color w:val="auto"/>
              </w:rPr>
            </w:pPr>
            <w:r>
              <w:rPr>
                <w:rFonts w:ascii="Arial" w:cs="Arial" w:eastAsia="Arial" w:hAnsi="Arial"/>
                <w:sz w:val="10"/>
                <w:szCs w:val="10"/>
                <w:color w:val="auto"/>
              </w:rPr>
              <w:t>3.00 %</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95,652</w:t>
            </w:r>
          </w:p>
        </w:tc>
        <w:tc>
          <w:tcPr>
            <w:tcW w:w="860" w:type="dxa"/>
            <w:vAlign w:val="bottom"/>
          </w:tcPr>
          <w:p>
            <w:pPr>
              <w:jc w:val="right"/>
              <w:spacing w:after="0"/>
              <w:rPr>
                <w:sz w:val="20"/>
                <w:szCs w:val="20"/>
                <w:color w:val="auto"/>
              </w:rPr>
            </w:pPr>
            <w:r>
              <w:rPr>
                <w:rFonts w:ascii="Arial" w:cs="Arial" w:eastAsia="Arial" w:hAnsi="Arial"/>
                <w:sz w:val="10"/>
                <w:szCs w:val="10"/>
                <w:color w:val="auto"/>
              </w:rPr>
              <w:t>0.21 %</w:t>
            </w:r>
          </w:p>
        </w:tc>
        <w:tc>
          <w:tcPr>
            <w:tcW w:w="0" w:type="dxa"/>
            <w:vAlign w:val="bottom"/>
          </w:tcPr>
          <w:p>
            <w:pPr>
              <w:spacing w:after="0"/>
              <w:rPr>
                <w:sz w:val="1"/>
                <w:szCs w:val="1"/>
                <w:color w:val="auto"/>
              </w:rPr>
            </w:pPr>
          </w:p>
        </w:tc>
      </w:tr>
      <w:tr>
        <w:trPr>
          <w:trHeight w:val="135"/>
        </w:trPr>
        <w:tc>
          <w:tcPr>
            <w:tcW w:w="2900" w:type="dxa"/>
            <w:vAlign w:val="bottom"/>
            <w:gridSpan w:val="2"/>
          </w:tcPr>
          <w:p>
            <w:pPr>
              <w:spacing w:after="0"/>
              <w:rPr>
                <w:sz w:val="20"/>
                <w:szCs w:val="20"/>
                <w:color w:val="auto"/>
              </w:rPr>
            </w:pPr>
            <w:r>
              <w:rPr>
                <w:rFonts w:ascii="Arial" w:cs="Arial" w:eastAsia="Arial" w:hAnsi="Arial"/>
                <w:sz w:val="10"/>
                <w:szCs w:val="10"/>
                <w:color w:val="auto"/>
              </w:rPr>
              <w:t>Deposits in financial institutions</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1,937,775</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82,930</w:t>
            </w:r>
          </w:p>
        </w:tc>
        <w:tc>
          <w:tcPr>
            <w:tcW w:w="880" w:type="dxa"/>
            <w:vAlign w:val="bottom"/>
          </w:tcPr>
          <w:p>
            <w:pPr>
              <w:jc w:val="right"/>
              <w:spacing w:after="0"/>
              <w:rPr>
                <w:sz w:val="20"/>
                <w:szCs w:val="20"/>
                <w:color w:val="auto"/>
              </w:rPr>
            </w:pPr>
            <w:r>
              <w:rPr>
                <w:rFonts w:ascii="Arial" w:cs="Arial" w:eastAsia="Arial" w:hAnsi="Arial"/>
                <w:sz w:val="10"/>
                <w:szCs w:val="10"/>
                <w:color w:val="auto"/>
              </w:rPr>
              <w:t>4.28 %</w:t>
            </w:r>
          </w:p>
        </w:tc>
        <w:tc>
          <w:tcPr>
            <w:tcW w:w="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3,226,658</w:t>
            </w: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170,377</w:t>
            </w:r>
          </w:p>
        </w:tc>
        <w:tc>
          <w:tcPr>
            <w:tcW w:w="860" w:type="dxa"/>
            <w:vAlign w:val="bottom"/>
          </w:tcPr>
          <w:p>
            <w:pPr>
              <w:jc w:val="right"/>
              <w:spacing w:after="0"/>
              <w:rPr>
                <w:sz w:val="20"/>
                <w:szCs w:val="20"/>
                <w:color w:val="auto"/>
              </w:rPr>
            </w:pPr>
            <w:r>
              <w:rPr>
                <w:rFonts w:ascii="Arial" w:cs="Arial" w:eastAsia="Arial" w:hAnsi="Arial"/>
                <w:sz w:val="10"/>
                <w:szCs w:val="10"/>
                <w:color w:val="auto"/>
              </w:rPr>
              <w:t>5.28 %</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(1,288,883)</w:t>
            </w:r>
          </w:p>
        </w:tc>
        <w:tc>
          <w:tcPr>
            <w:tcW w:w="86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24"/>
        </w:trPr>
        <w:tc>
          <w:tcPr>
            <w:tcW w:w="2900" w:type="dxa"/>
            <w:vAlign w:val="bottom"/>
            <w:gridSpan w:val="2"/>
          </w:tcPr>
          <w:p>
            <w:pPr>
              <w:ind w:left="80"/>
              <w:spacing w:after="0"/>
              <w:rPr>
                <w:sz w:val="20"/>
                <w:szCs w:val="20"/>
                <w:color w:val="auto"/>
              </w:rPr>
            </w:pPr>
            <w:r>
              <w:rPr>
                <w:rFonts w:ascii="Arial" w:cs="Arial" w:eastAsia="Arial" w:hAnsi="Arial"/>
                <w:sz w:val="10"/>
                <w:szCs w:val="10"/>
                <w:color w:val="auto"/>
              </w:rPr>
              <w:t>Total interest-earning assets</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31,020,850</w:t>
            </w:r>
          </w:p>
        </w:tc>
        <w:tc>
          <w:tcPr>
            <w:tcW w:w="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1,676,653</w:t>
            </w:r>
          </w:p>
        </w:tc>
        <w:tc>
          <w:tcPr>
            <w:tcW w:w="880" w:type="dxa"/>
            <w:vAlign w:val="bottom"/>
          </w:tcPr>
          <w:p>
            <w:pPr>
              <w:jc w:val="right"/>
              <w:spacing w:after="0"/>
              <w:rPr>
                <w:sz w:val="20"/>
                <w:szCs w:val="20"/>
                <w:color w:val="auto"/>
              </w:rPr>
            </w:pPr>
            <w:r>
              <w:rPr>
                <w:rFonts w:ascii="Arial" w:cs="Arial" w:eastAsia="Arial" w:hAnsi="Arial"/>
                <w:sz w:val="10"/>
                <w:szCs w:val="10"/>
                <w:color w:val="auto"/>
              </w:rPr>
              <w:t>5.40 %</w:t>
            </w:r>
          </w:p>
        </w:tc>
        <w:tc>
          <w:tcPr>
            <w:tcW w:w="60" w:type="dxa"/>
            <w:vAlign w:val="bottom"/>
          </w:tcPr>
          <w:p>
            <w:pPr>
              <w:spacing w:after="0"/>
              <w:rPr>
                <w:sz w:val="10"/>
                <w:szCs w:val="10"/>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32,482,923</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1,812,705</w:t>
            </w:r>
          </w:p>
        </w:tc>
        <w:tc>
          <w:tcPr>
            <w:tcW w:w="860" w:type="dxa"/>
            <w:vAlign w:val="bottom"/>
          </w:tcPr>
          <w:p>
            <w:pPr>
              <w:jc w:val="right"/>
              <w:spacing w:after="0"/>
              <w:rPr>
                <w:sz w:val="20"/>
                <w:szCs w:val="20"/>
                <w:color w:val="auto"/>
              </w:rPr>
            </w:pPr>
            <w:r>
              <w:rPr>
                <w:rFonts w:ascii="Arial" w:cs="Arial" w:eastAsia="Arial" w:hAnsi="Arial"/>
                <w:sz w:val="10"/>
                <w:szCs w:val="10"/>
                <w:color w:val="auto"/>
              </w:rPr>
              <w:t>5.58 %</w:t>
            </w:r>
          </w:p>
        </w:tc>
        <w:tc>
          <w:tcPr>
            <w:tcW w:w="80" w:type="dxa"/>
            <w:vAlign w:val="bottom"/>
          </w:tcPr>
          <w:p>
            <w:pPr>
              <w:spacing w:after="0"/>
              <w:rPr>
                <w:sz w:val="10"/>
                <w:szCs w:val="10"/>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(1,462,073)</w:t>
            </w:r>
          </w:p>
        </w:tc>
        <w:tc>
          <w:tcPr>
            <w:tcW w:w="860" w:type="dxa"/>
            <w:vAlign w:val="bottom"/>
          </w:tcPr>
          <w:p>
            <w:pPr>
              <w:jc w:val="right"/>
              <w:spacing w:after="0"/>
              <w:rPr>
                <w:sz w:val="20"/>
                <w:szCs w:val="20"/>
                <w:color w:val="auto"/>
              </w:rPr>
            </w:pPr>
            <w:r>
              <w:rPr>
                <w:rFonts w:ascii="Arial" w:cs="Arial" w:eastAsia="Arial" w:hAnsi="Arial"/>
                <w:sz w:val="10"/>
                <w:szCs w:val="10"/>
                <w:color w:val="auto"/>
              </w:rPr>
              <w:t>(0.18)%</w:t>
            </w:r>
          </w:p>
        </w:tc>
        <w:tc>
          <w:tcPr>
            <w:tcW w:w="0" w:type="dxa"/>
            <w:vAlign w:val="bottom"/>
          </w:tcPr>
          <w:p>
            <w:pPr>
              <w:spacing w:after="0"/>
              <w:rPr>
                <w:sz w:val="1"/>
                <w:szCs w:val="1"/>
                <w:color w:val="auto"/>
              </w:rPr>
            </w:pPr>
          </w:p>
        </w:tc>
      </w:tr>
      <w:tr>
        <w:trPr>
          <w:trHeight w:val="263"/>
        </w:trPr>
        <w:tc>
          <w:tcPr>
            <w:tcW w:w="2900" w:type="dxa"/>
            <w:vAlign w:val="bottom"/>
            <w:gridSpan w:val="2"/>
          </w:tcPr>
          <w:p>
            <w:pPr>
              <w:spacing w:after="0"/>
              <w:rPr>
                <w:sz w:val="20"/>
                <w:szCs w:val="20"/>
                <w:color w:val="auto"/>
              </w:rPr>
            </w:pPr>
            <w:r>
              <w:rPr>
                <w:rFonts w:ascii="Arial" w:cs="Arial" w:eastAsia="Arial" w:hAnsi="Arial"/>
                <w:sz w:val="10"/>
                <w:szCs w:val="10"/>
                <w:b w:val="1"/>
                <w:bCs w:val="1"/>
                <w:color w:val="auto"/>
              </w:rPr>
              <w:t>Liabilities: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900" w:type="dxa"/>
            <w:vAlign w:val="bottom"/>
            <w:gridSpan w:val="2"/>
          </w:tcPr>
          <w:p>
            <w:pPr>
              <w:spacing w:after="0"/>
              <w:rPr>
                <w:sz w:val="20"/>
                <w:szCs w:val="20"/>
                <w:color w:val="auto"/>
              </w:rPr>
            </w:pPr>
            <w:r>
              <w:rPr>
                <w:rFonts w:ascii="Arial" w:cs="Arial" w:eastAsia="Arial" w:hAnsi="Arial"/>
                <w:sz w:val="10"/>
                <w:szCs w:val="10"/>
                <w:color w:val="auto"/>
              </w:rPr>
              <w:t>Noninterest-bearing demand</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gridSpan w:val="2"/>
          </w:tcPr>
          <w:p>
            <w:pPr>
              <w:ind w:left="80"/>
              <w:spacing w:after="0"/>
              <w:rPr>
                <w:sz w:val="20"/>
                <w:szCs w:val="20"/>
                <w:color w:val="auto"/>
              </w:rPr>
            </w:pPr>
            <w:r>
              <w:rPr>
                <w:rFonts w:ascii="Arial" w:cs="Arial" w:eastAsia="Arial" w:hAnsi="Arial"/>
                <w:sz w:val="10"/>
                <w:szCs w:val="10"/>
                <w:color w:val="auto"/>
              </w:rPr>
              <w:t>deposits</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7,698,015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7,829,976</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(131,961)</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gridSpan w:val="2"/>
          </w:tcPr>
          <w:p>
            <w:pPr>
              <w:spacing w:after="0"/>
              <w:rPr>
                <w:sz w:val="20"/>
                <w:szCs w:val="20"/>
                <w:color w:val="auto"/>
              </w:rPr>
            </w:pPr>
            <w:r>
              <w:rPr>
                <w:rFonts w:ascii="Arial" w:cs="Arial" w:eastAsia="Arial" w:hAnsi="Arial"/>
                <w:sz w:val="10"/>
                <w:szCs w:val="10"/>
                <w:color w:val="auto"/>
              </w:rPr>
              <w:t>Total interest-bearing deposits</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19,486,610</w:t>
            </w:r>
          </w:p>
        </w:tc>
        <w:tc>
          <w:tcPr>
            <w:tcW w:w="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558,440</w:t>
            </w:r>
          </w:p>
        </w:tc>
        <w:tc>
          <w:tcPr>
            <w:tcW w:w="880" w:type="dxa"/>
            <w:vAlign w:val="bottom"/>
          </w:tcPr>
          <w:p>
            <w:pPr>
              <w:jc w:val="right"/>
              <w:spacing w:after="0"/>
              <w:rPr>
                <w:sz w:val="20"/>
                <w:szCs w:val="20"/>
                <w:color w:val="auto"/>
              </w:rPr>
            </w:pPr>
            <w:r>
              <w:rPr>
                <w:rFonts w:ascii="Arial" w:cs="Arial" w:eastAsia="Arial" w:hAnsi="Arial"/>
                <w:sz w:val="10"/>
                <w:szCs w:val="10"/>
                <w:color w:val="auto"/>
              </w:rPr>
              <w:t>2.87 %</w:t>
            </w:r>
          </w:p>
        </w:tc>
        <w:tc>
          <w:tcPr>
            <w:tcW w:w="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20,599,820</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715,984</w:t>
            </w:r>
          </w:p>
        </w:tc>
        <w:tc>
          <w:tcPr>
            <w:tcW w:w="860" w:type="dxa"/>
            <w:vAlign w:val="bottom"/>
          </w:tcPr>
          <w:p>
            <w:pPr>
              <w:jc w:val="right"/>
              <w:spacing w:after="0"/>
              <w:rPr>
                <w:sz w:val="20"/>
                <w:szCs w:val="20"/>
                <w:color w:val="auto"/>
              </w:rPr>
            </w:pPr>
            <w:r>
              <w:rPr>
                <w:rFonts w:ascii="Arial" w:cs="Arial" w:eastAsia="Arial" w:hAnsi="Arial"/>
                <w:sz w:val="10"/>
                <w:szCs w:val="10"/>
                <w:color w:val="auto"/>
              </w:rPr>
              <w:t>3.48 %</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(1,113,210)</w:t>
            </w:r>
          </w:p>
        </w:tc>
        <w:tc>
          <w:tcPr>
            <w:tcW w:w="860" w:type="dxa"/>
            <w:vAlign w:val="bottom"/>
          </w:tcPr>
          <w:p>
            <w:pPr>
              <w:jc w:val="right"/>
              <w:spacing w:after="0"/>
              <w:rPr>
                <w:sz w:val="20"/>
                <w:szCs w:val="20"/>
                <w:color w:val="auto"/>
              </w:rPr>
            </w:pPr>
            <w:r>
              <w:rPr>
                <w:rFonts w:ascii="Arial" w:cs="Arial" w:eastAsia="Arial" w:hAnsi="Arial"/>
                <w:sz w:val="10"/>
                <w:szCs w:val="10"/>
                <w:color w:val="auto"/>
              </w:rPr>
              <w:t>(0.61)%</w:t>
            </w:r>
          </w:p>
        </w:tc>
        <w:tc>
          <w:tcPr>
            <w:tcW w:w="0" w:type="dxa"/>
            <w:vAlign w:val="bottom"/>
          </w:tcPr>
          <w:p>
            <w:pPr>
              <w:spacing w:after="0"/>
              <w:rPr>
                <w:sz w:val="1"/>
                <w:szCs w:val="1"/>
                <w:color w:val="auto"/>
              </w:rPr>
            </w:pPr>
          </w:p>
        </w:tc>
      </w:tr>
      <w:tr>
        <w:trPr>
          <w:trHeight w:val="127"/>
        </w:trPr>
        <w:tc>
          <w:tcPr>
            <w:tcW w:w="2900" w:type="dxa"/>
            <w:vAlign w:val="bottom"/>
            <w:gridSpan w:val="2"/>
          </w:tcPr>
          <w:p>
            <w:pPr>
              <w:ind w:left="80"/>
              <w:spacing w:after="0"/>
              <w:rPr>
                <w:sz w:val="20"/>
                <w:szCs w:val="20"/>
                <w:color w:val="auto"/>
              </w:rPr>
            </w:pPr>
            <w:r>
              <w:rPr>
                <w:rFonts w:ascii="Arial" w:cs="Arial" w:eastAsia="Arial" w:hAnsi="Arial"/>
                <w:sz w:val="10"/>
                <w:szCs w:val="10"/>
                <w:color w:val="auto"/>
              </w:rPr>
              <w:t>Total deposits</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27,184,625</w:t>
            </w: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558,440</w:t>
            </w:r>
          </w:p>
        </w:tc>
        <w:tc>
          <w:tcPr>
            <w:tcW w:w="880" w:type="dxa"/>
            <w:vAlign w:val="bottom"/>
          </w:tcPr>
          <w:p>
            <w:pPr>
              <w:jc w:val="right"/>
              <w:spacing w:after="0"/>
              <w:rPr>
                <w:sz w:val="20"/>
                <w:szCs w:val="20"/>
                <w:color w:val="auto"/>
              </w:rPr>
            </w:pPr>
            <w:r>
              <w:rPr>
                <w:rFonts w:ascii="Arial" w:cs="Arial" w:eastAsia="Arial" w:hAnsi="Arial"/>
                <w:sz w:val="10"/>
                <w:szCs w:val="10"/>
                <w:color w:val="auto"/>
              </w:rPr>
              <w:t>2.05 %</w:t>
            </w:r>
          </w:p>
        </w:tc>
        <w:tc>
          <w:tcPr>
            <w:tcW w:w="60" w:type="dxa"/>
            <w:vAlign w:val="bottom"/>
          </w:tcPr>
          <w:p>
            <w:pPr>
              <w:spacing w:after="0"/>
              <w:rPr>
                <w:sz w:val="11"/>
                <w:szCs w:val="11"/>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28,429,796</w:t>
            </w: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715,984</w:t>
            </w:r>
          </w:p>
        </w:tc>
        <w:tc>
          <w:tcPr>
            <w:tcW w:w="860" w:type="dxa"/>
            <w:vAlign w:val="bottom"/>
          </w:tcPr>
          <w:p>
            <w:pPr>
              <w:jc w:val="right"/>
              <w:spacing w:after="0"/>
              <w:rPr>
                <w:sz w:val="20"/>
                <w:szCs w:val="20"/>
                <w:color w:val="auto"/>
              </w:rPr>
            </w:pPr>
            <w:r>
              <w:rPr>
                <w:rFonts w:ascii="Arial" w:cs="Arial" w:eastAsia="Arial" w:hAnsi="Arial"/>
                <w:sz w:val="10"/>
                <w:szCs w:val="10"/>
                <w:color w:val="auto"/>
              </w:rPr>
              <w:t>2.52 %</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(1,245,171)</w:t>
            </w:r>
          </w:p>
        </w:tc>
        <w:tc>
          <w:tcPr>
            <w:tcW w:w="860" w:type="dxa"/>
            <w:vAlign w:val="bottom"/>
          </w:tcPr>
          <w:p>
            <w:pPr>
              <w:jc w:val="right"/>
              <w:spacing w:after="0"/>
              <w:rPr>
                <w:sz w:val="20"/>
                <w:szCs w:val="20"/>
                <w:color w:val="auto"/>
              </w:rPr>
            </w:pPr>
            <w:r>
              <w:rPr>
                <w:rFonts w:ascii="Arial" w:cs="Arial" w:eastAsia="Arial" w:hAnsi="Arial"/>
                <w:sz w:val="10"/>
                <w:szCs w:val="10"/>
                <w:color w:val="auto"/>
              </w:rPr>
              <w:t>(0.47)%</w:t>
            </w:r>
          </w:p>
        </w:tc>
        <w:tc>
          <w:tcPr>
            <w:tcW w:w="0" w:type="dxa"/>
            <w:vAlign w:val="bottom"/>
          </w:tcPr>
          <w:p>
            <w:pPr>
              <w:spacing w:after="0"/>
              <w:rPr>
                <w:sz w:val="1"/>
                <w:szCs w:val="1"/>
                <w:color w:val="auto"/>
              </w:rPr>
            </w:pPr>
          </w:p>
        </w:tc>
      </w:tr>
      <w:tr>
        <w:trPr>
          <w:trHeight w:val="256"/>
        </w:trPr>
        <w:tc>
          <w:tcPr>
            <w:tcW w:w="2900" w:type="dxa"/>
            <w:vAlign w:val="bottom"/>
            <w:gridSpan w:val="2"/>
          </w:tcPr>
          <w:p>
            <w:pPr>
              <w:spacing w:after="0"/>
              <w:rPr>
                <w:sz w:val="20"/>
                <w:szCs w:val="20"/>
                <w:color w:val="auto"/>
              </w:rPr>
            </w:pPr>
            <w:r>
              <w:rPr>
                <w:rFonts w:ascii="Arial" w:cs="Arial" w:eastAsia="Arial" w:hAnsi="Arial"/>
                <w:sz w:val="10"/>
                <w:szCs w:val="10"/>
                <w:color w:val="auto"/>
              </w:rPr>
              <w:t>Total interest-bearing liabilities</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22,033,788</w:t>
            </w:r>
          </w:p>
        </w:tc>
        <w:tc>
          <w:tcPr>
            <w:tcW w:w="40" w:type="dxa"/>
            <w:vAlign w:val="bottom"/>
          </w:tcPr>
          <w:p>
            <w:pPr>
              <w:spacing w:after="0"/>
              <w:rPr>
                <w:sz w:val="22"/>
                <w:szCs w:val="2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699,267</w:t>
            </w:r>
          </w:p>
        </w:tc>
        <w:tc>
          <w:tcPr>
            <w:tcW w:w="880" w:type="dxa"/>
            <w:vAlign w:val="bottom"/>
          </w:tcPr>
          <w:p>
            <w:pPr>
              <w:jc w:val="right"/>
              <w:spacing w:after="0"/>
              <w:rPr>
                <w:sz w:val="20"/>
                <w:szCs w:val="20"/>
                <w:color w:val="auto"/>
              </w:rPr>
            </w:pPr>
            <w:r>
              <w:rPr>
                <w:rFonts w:ascii="Arial" w:cs="Arial" w:eastAsia="Arial" w:hAnsi="Arial"/>
                <w:sz w:val="10"/>
                <w:szCs w:val="10"/>
                <w:color w:val="auto"/>
              </w:rPr>
              <w:t>3.17 %</w:t>
            </w:r>
          </w:p>
        </w:tc>
        <w:tc>
          <w:tcPr>
            <w:tcW w:w="60" w:type="dxa"/>
            <w:vAlign w:val="bottom"/>
          </w:tcPr>
          <w:p>
            <w:pPr>
              <w:spacing w:after="0"/>
              <w:rPr>
                <w:sz w:val="22"/>
                <w:szCs w:val="22"/>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23,378,167</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886,655</w:t>
            </w:r>
          </w:p>
        </w:tc>
        <w:tc>
          <w:tcPr>
            <w:tcW w:w="860" w:type="dxa"/>
            <w:vAlign w:val="bottom"/>
          </w:tcPr>
          <w:p>
            <w:pPr>
              <w:jc w:val="right"/>
              <w:spacing w:after="0"/>
              <w:rPr>
                <w:sz w:val="20"/>
                <w:szCs w:val="20"/>
                <w:color w:val="auto"/>
              </w:rPr>
            </w:pPr>
            <w:r>
              <w:rPr>
                <w:rFonts w:ascii="Arial" w:cs="Arial" w:eastAsia="Arial" w:hAnsi="Arial"/>
                <w:sz w:val="10"/>
                <w:szCs w:val="10"/>
                <w:color w:val="auto"/>
              </w:rPr>
              <w:t>3.79 %</w:t>
            </w:r>
          </w:p>
        </w:tc>
        <w:tc>
          <w:tcPr>
            <w:tcW w:w="80" w:type="dxa"/>
            <w:vAlign w:val="bottom"/>
          </w:tcPr>
          <w:p>
            <w:pPr>
              <w:spacing w:after="0"/>
              <w:rPr>
                <w:sz w:val="22"/>
                <w:szCs w:val="2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(1,344,379)</w:t>
            </w:r>
          </w:p>
        </w:tc>
        <w:tc>
          <w:tcPr>
            <w:tcW w:w="860" w:type="dxa"/>
            <w:vAlign w:val="bottom"/>
          </w:tcPr>
          <w:p>
            <w:pPr>
              <w:jc w:val="right"/>
              <w:spacing w:after="0"/>
              <w:rPr>
                <w:sz w:val="20"/>
                <w:szCs w:val="20"/>
                <w:color w:val="auto"/>
              </w:rPr>
            </w:pPr>
            <w:r>
              <w:rPr>
                <w:rFonts w:ascii="Arial" w:cs="Arial" w:eastAsia="Arial" w:hAnsi="Arial"/>
                <w:sz w:val="10"/>
                <w:szCs w:val="10"/>
                <w:color w:val="auto"/>
              </w:rPr>
              <w:t>(0.62)%</w:t>
            </w: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Arial" w:cs="Arial" w:eastAsia="Arial" w:hAnsi="Arial"/>
                <w:sz w:val="10"/>
                <w:szCs w:val="10"/>
                <w:color w:val="auto"/>
              </w:rPr>
              <w:t>Net interest income</w:t>
            </w:r>
            <w:r>
              <w:rPr>
                <w:rFonts w:ascii="Arial" w:cs="Arial" w:eastAsia="Arial" w:hAnsi="Arial"/>
                <w:sz w:val="12"/>
                <w:szCs w:val="12"/>
                <w:color w:val="auto"/>
                <w:vertAlign w:val="superscript"/>
              </w:rPr>
              <w:t>(1)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977,386</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926,050</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0"/>
                <w:szCs w:val="10"/>
                <w:color w:val="auto"/>
              </w:rPr>
              <w:t>Net interest margin</w:t>
            </w: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3.15 %</w:t>
            </w:r>
          </w:p>
        </w:tc>
        <w:tc>
          <w:tcPr>
            <w:tcW w:w="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2.85 %</w:t>
            </w: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0.30 %</w:t>
            </w:r>
          </w:p>
        </w:tc>
        <w:tc>
          <w:tcPr>
            <w:tcW w:w="0" w:type="dxa"/>
            <w:vAlign w:val="bottom"/>
          </w:tcPr>
          <w:p>
            <w:pPr>
              <w:spacing w:after="0" w:line="20" w:lineRule="exact"/>
              <w:rPr>
                <w:sz w:val="1"/>
                <w:szCs w:val="1"/>
                <w:color w:val="auto"/>
              </w:rPr>
            </w:pPr>
          </w:p>
        </w:tc>
      </w:tr>
      <w:tr>
        <w:trPr>
          <w:trHeight w:val="87"/>
        </w:trPr>
        <w:tc>
          <w:tcPr>
            <w:tcW w:w="29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2900" w:type="dxa"/>
            <w:vAlign w:val="bottom"/>
            <w:gridSpan w:val="2"/>
          </w:tcPr>
          <w:p>
            <w:pPr>
              <w:spacing w:after="0"/>
              <w:rPr>
                <w:sz w:val="20"/>
                <w:szCs w:val="20"/>
                <w:color w:val="auto"/>
              </w:rPr>
            </w:pPr>
            <w:r>
              <w:rPr>
                <w:rFonts w:ascii="Arial" w:cs="Arial" w:eastAsia="Arial" w:hAnsi="Arial"/>
                <w:sz w:val="10"/>
                <w:szCs w:val="10"/>
                <w:color w:val="auto"/>
              </w:rPr>
              <w:t>Total funds</w:t>
            </w:r>
            <w:r>
              <w:rPr>
                <w:rFonts w:ascii="Arial" w:cs="Arial" w:eastAsia="Arial" w:hAnsi="Arial"/>
                <w:sz w:val="12"/>
                <w:szCs w:val="12"/>
                <w:color w:val="auto"/>
                <w:vertAlign w:val="superscript"/>
              </w:rPr>
              <w:t>(2)</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29,731,803</w:t>
            </w:r>
          </w:p>
        </w:tc>
        <w:tc>
          <w:tcPr>
            <w:tcW w:w="240" w:type="dxa"/>
            <w:vAlign w:val="bottom"/>
            <w:gridSpan w:val="2"/>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699,267</w:t>
            </w:r>
          </w:p>
        </w:tc>
        <w:tc>
          <w:tcPr>
            <w:tcW w:w="880" w:type="dxa"/>
            <w:vAlign w:val="bottom"/>
          </w:tcPr>
          <w:p>
            <w:pPr>
              <w:jc w:val="right"/>
              <w:spacing w:after="0"/>
              <w:rPr>
                <w:sz w:val="20"/>
                <w:szCs w:val="20"/>
                <w:color w:val="auto"/>
              </w:rPr>
            </w:pPr>
            <w:r>
              <w:rPr>
                <w:rFonts w:ascii="Arial" w:cs="Arial" w:eastAsia="Arial" w:hAnsi="Arial"/>
                <w:sz w:val="10"/>
                <w:szCs w:val="10"/>
                <w:color w:val="auto"/>
              </w:rPr>
              <w:t>2.35 %</w:t>
            </w:r>
          </w:p>
        </w:tc>
        <w:tc>
          <w:tcPr>
            <w:tcW w:w="60" w:type="dxa"/>
            <w:vAlign w:val="bottom"/>
          </w:tcPr>
          <w:p>
            <w:pPr>
              <w:spacing w:after="0"/>
              <w:rPr>
                <w:sz w:val="24"/>
                <w:szCs w:val="24"/>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31,208,143</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886,655</w:t>
            </w:r>
          </w:p>
        </w:tc>
        <w:tc>
          <w:tcPr>
            <w:tcW w:w="860" w:type="dxa"/>
            <w:vAlign w:val="bottom"/>
          </w:tcPr>
          <w:p>
            <w:pPr>
              <w:jc w:val="right"/>
              <w:spacing w:after="0"/>
              <w:rPr>
                <w:sz w:val="20"/>
                <w:szCs w:val="20"/>
                <w:color w:val="auto"/>
              </w:rPr>
            </w:pPr>
            <w:r>
              <w:rPr>
                <w:rFonts w:ascii="Arial" w:cs="Arial" w:eastAsia="Arial" w:hAnsi="Arial"/>
                <w:sz w:val="10"/>
                <w:szCs w:val="10"/>
                <w:color w:val="auto"/>
              </w:rPr>
              <w:t>2.84 %</w:t>
            </w:r>
          </w:p>
        </w:tc>
        <w:tc>
          <w:tcPr>
            <w:tcW w:w="80" w:type="dxa"/>
            <w:vAlign w:val="bottom"/>
          </w:tcPr>
          <w:p>
            <w:pPr>
              <w:spacing w:after="0"/>
              <w:rPr>
                <w:sz w:val="24"/>
                <w:szCs w:val="2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(1,476,340)</w:t>
            </w:r>
          </w:p>
        </w:tc>
        <w:tc>
          <w:tcPr>
            <w:tcW w:w="860" w:type="dxa"/>
            <w:vAlign w:val="bottom"/>
          </w:tcPr>
          <w:p>
            <w:pPr>
              <w:jc w:val="right"/>
              <w:spacing w:after="0"/>
              <w:rPr>
                <w:sz w:val="20"/>
                <w:szCs w:val="20"/>
                <w:color w:val="auto"/>
              </w:rPr>
            </w:pPr>
            <w:r>
              <w:rPr>
                <w:rFonts w:ascii="Arial" w:cs="Arial" w:eastAsia="Arial" w:hAnsi="Arial"/>
                <w:sz w:val="10"/>
                <w:szCs w:val="10"/>
                <w:color w:val="auto"/>
              </w:rPr>
              <w:t>(0.49)%</w:t>
            </w:r>
          </w:p>
        </w:tc>
        <w:tc>
          <w:tcPr>
            <w:tcW w:w="0" w:type="dxa"/>
            <w:vAlign w:val="bottom"/>
          </w:tcPr>
          <w:p>
            <w:pPr>
              <w:spacing w:after="0"/>
              <w:rPr>
                <w:sz w:val="1"/>
                <w:szCs w:val="1"/>
                <w:color w:val="auto"/>
              </w:rPr>
            </w:pPr>
          </w:p>
        </w:tc>
      </w:tr>
      <w:tr>
        <w:trPr>
          <w:trHeight w:val="176"/>
        </w:trPr>
        <w:tc>
          <w:tcPr>
            <w:tcW w:w="2900" w:type="dxa"/>
            <w:vAlign w:val="bottom"/>
            <w:gridSpan w:val="2"/>
          </w:tcPr>
          <w:p>
            <w:pPr>
              <w:spacing w:after="0"/>
              <w:rPr>
                <w:sz w:val="20"/>
                <w:szCs w:val="20"/>
                <w:color w:val="auto"/>
              </w:rPr>
            </w:pPr>
            <w:r>
              <w:rPr>
                <w:rFonts w:ascii="Arial" w:cs="Arial" w:eastAsia="Arial" w:hAnsi="Arial"/>
                <w:sz w:val="12"/>
                <w:szCs w:val="12"/>
                <w:color w:val="6D6D6D"/>
              </w:rPr>
              <w:t>______________</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48" w:hanging="148"/>
        <w:spacing w:after="0" w:line="227" w:lineRule="auto"/>
        <w:tabs>
          <w:tab w:leader="none" w:pos="148" w:val="left"/>
        </w:tabs>
        <w:numPr>
          <w:ilvl w:val="0"/>
          <w:numId w:val="8"/>
        </w:numPr>
        <w:rPr>
          <w:rFonts w:ascii="Arial" w:cs="Arial" w:eastAsia="Arial" w:hAnsi="Arial"/>
          <w:sz w:val="10"/>
          <w:szCs w:val="10"/>
          <w:color w:val="6D6D6D"/>
        </w:rPr>
      </w:pPr>
      <w:r>
        <w:rPr>
          <w:rFonts w:ascii="Arial" w:cs="Arial" w:eastAsia="Arial" w:hAnsi="Arial"/>
          <w:sz w:val="10"/>
          <w:szCs w:val="10"/>
          <w:color w:val="6D6D6D"/>
        </w:rPr>
        <w:t>Includes net loan discount accretion of $64.2 million and $88.0 million for the year ended December 31, 2025 and 2024.</w:t>
      </w:r>
    </w:p>
    <w:p>
      <w:pPr>
        <w:ind w:left="148" w:hanging="148"/>
        <w:spacing w:after="0"/>
        <w:tabs>
          <w:tab w:leader="none" w:pos="148" w:val="left"/>
        </w:tabs>
        <w:numPr>
          <w:ilvl w:val="0"/>
          <w:numId w:val="8"/>
        </w:numPr>
        <w:rPr>
          <w:rFonts w:ascii="Arial" w:cs="Arial" w:eastAsia="Arial" w:hAnsi="Arial"/>
          <w:sz w:val="10"/>
          <w:szCs w:val="10"/>
          <w:color w:val="6D6D6D"/>
        </w:rPr>
      </w:pPr>
      <w:r>
        <w:rPr>
          <w:rFonts w:ascii="Arial" w:cs="Arial" w:eastAsia="Arial" w:hAnsi="Arial"/>
          <w:sz w:val="10"/>
          <w:szCs w:val="10"/>
          <w:color w:val="6D6D6D"/>
        </w:rPr>
        <w:t>Total funds is the sum of total interest-bearing liabilities and noninterest-bearing demand deposits. The cost of total funds is calculated as annualized total interest expense divided by average total funds.</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Provision For Credit Losses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Fourth Quarter of 2025 Compared to Third Quarter of 2025</w:t>
      </w:r>
    </w:p>
    <w:p>
      <w:pPr>
        <w:spacing w:after="0" w:line="76" w:lineRule="exact"/>
        <w:rPr>
          <w:sz w:val="20"/>
          <w:szCs w:val="20"/>
          <w:color w:val="auto"/>
        </w:rPr>
      </w:pPr>
    </w:p>
    <w:p>
      <w:pPr>
        <w:ind w:left="8" w:right="20"/>
        <w:spacing w:after="0" w:line="286" w:lineRule="auto"/>
        <w:rPr>
          <w:sz w:val="20"/>
          <w:szCs w:val="20"/>
          <w:color w:val="auto"/>
        </w:rPr>
      </w:pPr>
      <w:r>
        <w:rPr>
          <w:rFonts w:ascii="Arial" w:cs="Arial" w:eastAsia="Arial" w:hAnsi="Arial"/>
          <w:sz w:val="12"/>
          <w:szCs w:val="12"/>
          <w:color w:val="auto"/>
        </w:rPr>
        <w:t>The provision for credit losses was $12.5 million for the fourth quarter compared to $9.7 million for the third quarter. The fourth quarter provision included a provision for loan losses of $7.8 million and a $4.7 million provision for unfunded loan commitments.</w:t>
      </w:r>
    </w:p>
    <w:p>
      <w:pPr>
        <w:spacing w:after="0" w:line="31" w:lineRule="exact"/>
        <w:rPr>
          <w:sz w:val="20"/>
          <w:szCs w:val="20"/>
          <w:color w:val="auto"/>
        </w:rPr>
      </w:pPr>
    </w:p>
    <w:p>
      <w:pPr>
        <w:ind w:left="8" w:right="80"/>
        <w:spacing w:after="0" w:line="286" w:lineRule="auto"/>
        <w:rPr>
          <w:sz w:val="20"/>
          <w:szCs w:val="20"/>
          <w:color w:val="auto"/>
        </w:rPr>
      </w:pPr>
      <w:r>
        <w:rPr>
          <w:rFonts w:ascii="Arial" w:cs="Arial" w:eastAsia="Arial" w:hAnsi="Arial"/>
          <w:sz w:val="12"/>
          <w:szCs w:val="12"/>
          <w:color w:val="auto"/>
        </w:rPr>
        <w:t>The fourth quarter provision for loan losses and unfunded loan commitments was primarily driven by changes in loan risk ratings including specific reserves, and higher loan balances and unfunded commitments, offset partially by lower qualitative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54864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5</w:t>
      </w:r>
    </w:p>
    <w:p>
      <w:pPr>
        <w:sectPr>
          <w:pgSz w:w="11900" w:h="16838" w:orient="portrait"/>
          <w:cols w:equalWidth="0" w:num="1">
            <w:col w:w="11268"/>
          </w:cols>
          <w:pgMar w:left="292" w:top="874" w:right="33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The third quarter provision included an $8.7 million provision for loan losses and a $1.0 million provision for unfunded loan commitments.</w:t>
      </w:r>
    </w:p>
    <w:p>
      <w:pPr>
        <w:spacing w:after="0" w:line="78"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color w:val="auto"/>
        </w:rPr>
        <w:t>The third quarter provision for loan losses and unfunded loan commitments reflected changes in loan risk ratings, new originations, changes in the macroeconomic outlook, and higher unfunded commitments, partially offset by net recoveries and a lower qualitative reserve driven by lower balances in commercial real estate loans secured by office properties.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 xml:space="preserve">Full Year </w:t>
      </w:r>
      <w:r>
        <w:rPr>
          <w:rFonts w:ascii="Arial" w:cs="Arial" w:eastAsia="Arial" w:hAnsi="Arial"/>
          <w:sz w:val="12"/>
          <w:szCs w:val="12"/>
          <w:u w:val="single" w:color="auto"/>
          <w:color w:val="auto"/>
        </w:rPr>
        <w:t>2025</w:t>
      </w:r>
      <w:r>
        <w:rPr>
          <w:rFonts w:ascii="Arial" w:cs="Arial" w:eastAsia="Arial" w:hAnsi="Arial"/>
          <w:sz w:val="12"/>
          <w:szCs w:val="12"/>
          <w:i w:val="1"/>
          <w:iCs w:val="1"/>
          <w:u w:val="single" w:color="auto"/>
          <w:color w:val="auto"/>
        </w:rPr>
        <w:t xml:space="preserve"> vs Full Year </w:t>
      </w:r>
      <w:r>
        <w:rPr>
          <w:rFonts w:ascii="Arial" w:cs="Arial" w:eastAsia="Arial" w:hAnsi="Arial"/>
          <w:sz w:val="12"/>
          <w:szCs w:val="12"/>
          <w:u w:val="single" w:color="auto"/>
          <w:color w:val="auto"/>
        </w:rPr>
        <w:t>2024</w:t>
      </w:r>
    </w:p>
    <w:p>
      <w:pPr>
        <w:spacing w:after="0" w:line="78" w:lineRule="exact"/>
        <w:rPr>
          <w:sz w:val="20"/>
          <w:szCs w:val="20"/>
          <w:color w:val="auto"/>
        </w:rPr>
      </w:pPr>
    </w:p>
    <w:p>
      <w:pPr>
        <w:ind w:right="280"/>
        <w:spacing w:after="0" w:line="286" w:lineRule="auto"/>
        <w:rPr>
          <w:sz w:val="20"/>
          <w:szCs w:val="20"/>
          <w:color w:val="auto"/>
        </w:rPr>
      </w:pPr>
      <w:r>
        <w:rPr>
          <w:rFonts w:ascii="Arial" w:cs="Arial" w:eastAsia="Arial" w:hAnsi="Arial"/>
          <w:sz w:val="12"/>
          <w:szCs w:val="12"/>
          <w:color w:val="auto"/>
        </w:rPr>
        <w:t>The provision for credit losses was $70.6 million for the year ended December 31, 2025, compared to $42.8 million for the year ended December 31, 2024. The provision for 2025 included a provision for loan losses of $64.8 million and a provision for unfunded loan commitments of $5.9 million.</w:t>
      </w:r>
    </w:p>
    <w:p>
      <w:pPr>
        <w:spacing w:after="0" w:line="31"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The provision for 2025 included $ 26.3 million related to loans transferred to HFS in the second quarter of 2025 in connection with a strategic loan sale. The remaining increase in the provision for loan losses and unfunded loan commitments was primarily driven by net charge-off activity experienced in the first half of the year, with additional impacts from changes in loan risk ratings, and higher unfunded commitments. These were offset partially by lower qualitative reserves, lower specific reserves, and a favorable shift in the portfolio mix due to growth in loan segments with lower expected credit losses.</w:t>
      </w:r>
    </w:p>
    <w:p>
      <w:pPr>
        <w:spacing w:after="0" w:line="42"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The provision for loan losses and unfunded loan commitments for 2024 primarily included a $43.5 million provision for loan losses and a $0.5 million reversal of the provision for unfunded loan commitments. The provision for 2024 was driven mainly by net charge-off activity during the year.</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Noninterest Income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Fourth Quarter of 2025 Compared to Third Quarter of 2025</w:t>
      </w:r>
    </w:p>
    <w:p>
      <w:pPr>
        <w:spacing w:after="0" w:line="76" w:lineRule="exact"/>
        <w:rPr>
          <w:sz w:val="20"/>
          <w:szCs w:val="20"/>
          <w:color w:val="auto"/>
        </w:rPr>
      </w:pPr>
    </w:p>
    <w:p>
      <w:pPr>
        <w:jc w:val="both"/>
        <w:ind w:right="380"/>
        <w:spacing w:after="0" w:line="268" w:lineRule="auto"/>
        <w:rPr>
          <w:sz w:val="20"/>
          <w:szCs w:val="20"/>
          <w:color w:val="auto"/>
        </w:rPr>
      </w:pPr>
      <w:r>
        <w:rPr>
          <w:rFonts w:ascii="Arial" w:cs="Arial" w:eastAsia="Arial" w:hAnsi="Arial"/>
          <w:sz w:val="12"/>
          <w:szCs w:val="12"/>
          <w:color w:val="auto"/>
        </w:rPr>
        <w:t>Noninterest income increased by $ 7.3 million to $41.6 million for the fourth quarter from $34.3 million for the third quarter due mainly to a $6.1 million increase in leased equipment income and a $1.2 million increase in dividends and gains on equity investments. The increase in leased equipment income was due mainly to higher gains on early lease terminations. The increase in dividends and gains on equity investments was primarily related to higher fair value gains on Small Business Investment Company investments.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 xml:space="preserve">Full Year </w:t>
      </w:r>
      <w:r>
        <w:rPr>
          <w:rFonts w:ascii="Arial" w:cs="Arial" w:eastAsia="Arial" w:hAnsi="Arial"/>
          <w:sz w:val="12"/>
          <w:szCs w:val="12"/>
          <w:u w:val="single" w:color="auto"/>
          <w:color w:val="auto"/>
        </w:rPr>
        <w:t>2025</w:t>
      </w:r>
      <w:r>
        <w:rPr>
          <w:rFonts w:ascii="Arial" w:cs="Arial" w:eastAsia="Arial" w:hAnsi="Arial"/>
          <w:sz w:val="12"/>
          <w:szCs w:val="12"/>
          <w:i w:val="1"/>
          <w:iCs w:val="1"/>
          <w:u w:val="single" w:color="auto"/>
          <w:color w:val="auto"/>
        </w:rPr>
        <w:t xml:space="preserve"> vs Full Year </w:t>
      </w:r>
      <w:r>
        <w:rPr>
          <w:rFonts w:ascii="Arial" w:cs="Arial" w:eastAsia="Arial" w:hAnsi="Arial"/>
          <w:sz w:val="12"/>
          <w:szCs w:val="12"/>
          <w:u w:val="single" w:color="auto"/>
          <w:color w:val="auto"/>
        </w:rPr>
        <w:t>2024</w:t>
      </w:r>
    </w:p>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Noninterest income increased by $65.0 million to $142.1 million for the year ended December 31, 2025 from $77.1 million for the year ended December 31, 2024. The prior year period included a $59.9 million loss on the sale of $742 million of securities executed as part of a balance sheet repositioning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548640" cy="14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6</w:t>
      </w:r>
    </w:p>
    <w:p>
      <w:pPr>
        <w:sectPr>
          <w:pgSz w:w="11900" w:h="16838" w:orient="portrait"/>
          <w:cols w:equalWidth="0" w:num="1">
            <w:col w:w="11240"/>
          </w:cols>
          <w:pgMar w:left="300" w:top="874" w:right="35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Noninterest Expense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Fourth Quarter of 2025 Compared to Third Quarter of 2025</w:t>
      </w:r>
    </w:p>
    <w:p>
      <w:pPr>
        <w:spacing w:after="0" w:line="76" w:lineRule="exact"/>
        <w:rPr>
          <w:sz w:val="20"/>
          <w:szCs w:val="20"/>
          <w:color w:val="auto"/>
        </w:rPr>
      </w:pPr>
    </w:p>
    <w:p>
      <w:pPr>
        <w:jc w:val="both"/>
        <w:ind w:right="100"/>
        <w:spacing w:after="0" w:line="268" w:lineRule="auto"/>
        <w:rPr>
          <w:sz w:val="20"/>
          <w:szCs w:val="20"/>
          <w:color w:val="auto"/>
        </w:rPr>
      </w:pPr>
      <w:r>
        <w:rPr>
          <w:rFonts w:ascii="Arial" w:cs="Arial" w:eastAsia="Arial" w:hAnsi="Arial"/>
          <w:sz w:val="12"/>
          <w:szCs w:val="12"/>
          <w:color w:val="auto"/>
        </w:rPr>
        <w:t>Noninterest expense decreased by $5.0 million to $180.6 million for the fourth quarter from $185.7 million for the third quarter due mainly to decreases of $3.0 million in compensation expense and $1.9 million in insurance and assessments expense. The compensation expense decrease was mainly driven by lower incentive and equity compensation and lower payroll taxes. Insurance and assessments expense declined primarily due to a lower FDIC quarterly assessment and adjustments related to the FDIC special assessment.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 xml:space="preserve">Full Year </w:t>
      </w:r>
      <w:r>
        <w:rPr>
          <w:rFonts w:ascii="Arial" w:cs="Arial" w:eastAsia="Arial" w:hAnsi="Arial"/>
          <w:sz w:val="12"/>
          <w:szCs w:val="12"/>
          <w:u w:val="single" w:color="auto"/>
          <w:color w:val="auto"/>
        </w:rPr>
        <w:t>2025</w:t>
      </w:r>
      <w:r>
        <w:rPr>
          <w:rFonts w:ascii="Arial" w:cs="Arial" w:eastAsia="Arial" w:hAnsi="Arial"/>
          <w:sz w:val="12"/>
          <w:szCs w:val="12"/>
          <w:i w:val="1"/>
          <w:iCs w:val="1"/>
          <w:u w:val="single" w:color="auto"/>
          <w:color w:val="auto"/>
        </w:rPr>
        <w:t xml:space="preserve"> vs Full Year </w:t>
      </w:r>
      <w:r>
        <w:rPr>
          <w:rFonts w:ascii="Arial" w:cs="Arial" w:eastAsia="Arial" w:hAnsi="Arial"/>
          <w:sz w:val="12"/>
          <w:szCs w:val="12"/>
          <w:u w:val="single" w:color="auto"/>
          <w:color w:val="auto"/>
        </w:rPr>
        <w:t>2024</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Noninterest expense decreased by $ 55.9 million to $735.9 million for the year ended December 31, 2025 due mainly to decreases of $38.0 million in insurance and assessments expense, $24.0 million in customer related expenses, and $ 7.4 million in occupancy expense, offset partially by $14.2 million in acquisition, integration and reorganization costs from 2024 that did not recur. Insurance and assessments expense decreased due primarily to incremental FDIC special assessments recorded in 2024, which reflected higher assessment rates. Customer related expense decreased due to lower earnings credit rate expenses, driven by the lower federal funds rate. Occupancy expense decreased as a result of cost savings from branch consolidations following the PacWest Bancorp merger. Acquisition, integration and reorganization costs of $14.2 million in 2024 reflected adjustments to the merger-related accruals, as actual expenses were lower than previously estimated.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Fourth Quarter of 2025 Compared to Third Quarter of 2025</w:t>
      </w:r>
    </w:p>
    <w:p>
      <w:pPr>
        <w:spacing w:after="0" w:line="76"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color w:val="auto"/>
        </w:rPr>
        <w:t>Income tax expense of $22.4 million was recorded for the fourth quarter resulting in an effective tax rate of 22.4% compared to income tax expense of $22.7 million and an effective tax rate of 24.6% for the third quarter.</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 xml:space="preserve">Full Year </w:t>
      </w:r>
      <w:r>
        <w:rPr>
          <w:rFonts w:ascii="Arial" w:cs="Arial" w:eastAsia="Arial" w:hAnsi="Arial"/>
          <w:sz w:val="12"/>
          <w:szCs w:val="12"/>
          <w:u w:val="single" w:color="auto"/>
          <w:color w:val="auto"/>
        </w:rPr>
        <w:t>2025</w:t>
      </w:r>
      <w:r>
        <w:rPr>
          <w:rFonts w:ascii="Arial" w:cs="Arial" w:eastAsia="Arial" w:hAnsi="Arial"/>
          <w:sz w:val="12"/>
          <w:szCs w:val="12"/>
          <w:i w:val="1"/>
          <w:iCs w:val="1"/>
          <w:u w:val="single" w:color="auto"/>
          <w:color w:val="auto"/>
        </w:rPr>
        <w:t xml:space="preserve"> vs Full Year </w:t>
      </w:r>
      <w:r>
        <w:rPr>
          <w:rFonts w:ascii="Arial" w:cs="Arial" w:eastAsia="Arial" w:hAnsi="Arial"/>
          <w:sz w:val="12"/>
          <w:szCs w:val="12"/>
          <w:u w:val="single" w:color="auto"/>
          <w:color w:val="auto"/>
        </w:rPr>
        <w:t>2024</w:t>
      </w:r>
    </w:p>
    <w:p>
      <w:pPr>
        <w:spacing w:after="0" w:line="78" w:lineRule="exact"/>
        <w:rPr>
          <w:sz w:val="20"/>
          <w:szCs w:val="20"/>
          <w:color w:val="auto"/>
        </w:rPr>
      </w:pPr>
    </w:p>
    <w:p>
      <w:pPr>
        <w:ind w:right="200"/>
        <w:spacing w:after="0" w:line="260" w:lineRule="auto"/>
        <w:rPr>
          <w:sz w:val="20"/>
          <w:szCs w:val="20"/>
          <w:color w:val="auto"/>
        </w:rPr>
      </w:pPr>
      <w:r>
        <w:rPr>
          <w:rFonts w:ascii="Arial" w:cs="Arial" w:eastAsia="Arial" w:hAnsi="Arial"/>
          <w:sz w:val="12"/>
          <w:szCs w:val="12"/>
          <w:color w:val="auto"/>
        </w:rPr>
        <w:t>Income tax expense of $84.1 million was recorded for the year ended December 31, 2025, resulting in an effective tax rate of 26.9% compared to income tax expense of $41.8 million and an effective tax rate of 24.8% for the comparable period in 2024. The higher 2025 effective tax rate was due primarily to a one-time</w:t>
      </w:r>
    </w:p>
    <w:p>
      <w:pPr>
        <w:spacing w:after="0" w:line="1" w:lineRule="exact"/>
        <w:rPr>
          <w:sz w:val="20"/>
          <w:szCs w:val="20"/>
          <w:color w:val="auto"/>
        </w:rPr>
      </w:pPr>
    </w:p>
    <w:p>
      <w:pPr>
        <w:ind w:right="340"/>
        <w:spacing w:after="0" w:line="265" w:lineRule="auto"/>
        <w:rPr>
          <w:sz w:val="20"/>
          <w:szCs w:val="20"/>
          <w:color w:val="auto"/>
        </w:rPr>
      </w:pPr>
      <w:r>
        <w:rPr>
          <w:rFonts w:ascii="Arial" w:cs="Arial" w:eastAsia="Arial" w:hAnsi="Arial"/>
          <w:sz w:val="12"/>
          <w:szCs w:val="12"/>
          <w:color w:val="auto"/>
        </w:rPr>
        <w:t>non-cash tax expense DTA revaluation recorded in the second quarter of 2025 related to the California state tax changes passed as part of the 2025 California budget enacted on June 30, 2025 and effective retroactively to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607060</wp:posOffset>
            </wp:positionV>
            <wp:extent cx="548640" cy="142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7</w:t>
      </w:r>
    </w:p>
    <w:p>
      <w:pPr>
        <w:sectPr>
          <w:pgSz w:w="11900" w:h="16838" w:orient="portrait"/>
          <w:cols w:equalWidth="0" w:num="1">
            <w:col w:w="11260"/>
          </w:cols>
          <w:pgMar w:left="300" w:top="948" w:right="33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001B2C"/>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BALANCE SHEET HIGHLIGHTS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13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412"/>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11"/>
                <w:szCs w:val="11"/>
                <w:color w:val="auto"/>
              </w:rPr>
            </w:pPr>
          </w:p>
        </w:tc>
        <w:tc>
          <w:tcPr>
            <w:tcW w:w="1260" w:type="dxa"/>
            <w:vAlign w:val="bottom"/>
          </w:tcPr>
          <w:p>
            <w:pPr>
              <w:jc w:val="right"/>
              <w:ind w:right="372"/>
              <w:spacing w:after="0"/>
              <w:rPr>
                <w:sz w:val="20"/>
                <w:szCs w:val="20"/>
                <w:color w:val="auto"/>
              </w:rPr>
            </w:pPr>
            <w:r>
              <w:rPr>
                <w:rFonts w:ascii="Arial" w:cs="Arial" w:eastAsia="Arial" w:hAnsi="Arial"/>
                <w:sz w:val="10"/>
                <w:szCs w:val="10"/>
                <w:b w:val="1"/>
                <w:bCs w:val="1"/>
                <w:color w:val="auto"/>
              </w:rPr>
              <w:t>September 30,</w:t>
            </w:r>
          </w:p>
        </w:tc>
        <w:tc>
          <w:tcPr>
            <w:tcW w:w="300" w:type="dxa"/>
            <w:vAlign w:val="bottom"/>
          </w:tcPr>
          <w:p>
            <w:pPr>
              <w:spacing w:after="0"/>
              <w:rPr>
                <w:sz w:val="11"/>
                <w:szCs w:val="11"/>
                <w:color w:val="auto"/>
              </w:rPr>
            </w:pPr>
          </w:p>
        </w:tc>
        <w:tc>
          <w:tcPr>
            <w:tcW w:w="1320" w:type="dxa"/>
            <w:vAlign w:val="bottom"/>
          </w:tcPr>
          <w:p>
            <w:pPr>
              <w:jc w:val="center"/>
              <w:ind w:right="292"/>
              <w:spacing w:after="0"/>
              <w:rPr>
                <w:sz w:val="20"/>
                <w:szCs w:val="20"/>
                <w:color w:val="auto"/>
              </w:rPr>
            </w:pPr>
            <w:r>
              <w:rPr>
                <w:rFonts w:ascii="Arial" w:cs="Arial" w:eastAsia="Arial" w:hAnsi="Arial"/>
                <w:sz w:val="10"/>
                <w:szCs w:val="10"/>
                <w:b w:val="1"/>
                <w:bCs w:val="1"/>
                <w:color w:val="auto"/>
                <w:w w:val="95"/>
              </w:rPr>
              <w:t>December 31,</w:t>
            </w:r>
          </w:p>
        </w:tc>
        <w:tc>
          <w:tcPr>
            <w:tcW w:w="3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Increase (Decrease)</w:t>
            </w:r>
          </w:p>
        </w:tc>
        <w:tc>
          <w:tcPr>
            <w:tcW w:w="940" w:type="dxa"/>
            <w:vAlign w:val="bottom"/>
            <w:tcBorders>
              <w:bottom w:val="single" w:sz="8" w:color="auto"/>
            </w:tcBorders>
          </w:tcPr>
          <w:p>
            <w:pPr>
              <w:spacing w:after="0"/>
              <w:rPr>
                <w:sz w:val="11"/>
                <w:szCs w:val="11"/>
                <w:color w:val="auto"/>
              </w:rPr>
            </w:pPr>
          </w:p>
        </w:tc>
      </w:tr>
      <w:tr>
        <w:trPr>
          <w:trHeight w:val="99"/>
        </w:trPr>
        <w:tc>
          <w:tcPr>
            <w:tcW w:w="360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Selected Balance Sheet Items</w:t>
            </w:r>
          </w:p>
        </w:tc>
        <w:tc>
          <w:tcPr>
            <w:tcW w:w="240" w:type="dxa"/>
            <w:vAlign w:val="bottom"/>
          </w:tcPr>
          <w:p>
            <w:pPr>
              <w:spacing w:after="0"/>
              <w:rPr>
                <w:sz w:val="8"/>
                <w:szCs w:val="8"/>
                <w:color w:val="auto"/>
              </w:rPr>
            </w:pPr>
          </w:p>
        </w:tc>
        <w:tc>
          <w:tcPr>
            <w:tcW w:w="1260" w:type="dxa"/>
            <w:vAlign w:val="bottom"/>
          </w:tcPr>
          <w:p>
            <w:pPr>
              <w:jc w:val="right"/>
              <w:ind w:right="612"/>
              <w:spacing w:after="0" w:line="99" w:lineRule="exact"/>
              <w:rPr>
                <w:sz w:val="20"/>
                <w:szCs w:val="20"/>
                <w:color w:val="auto"/>
              </w:rPr>
            </w:pPr>
            <w:r>
              <w:rPr>
                <w:rFonts w:ascii="Arial" w:cs="Arial" w:eastAsia="Arial" w:hAnsi="Arial"/>
                <w:sz w:val="10"/>
                <w:szCs w:val="10"/>
                <w:b w:val="1"/>
                <w:bCs w:val="1"/>
                <w:color w:val="auto"/>
              </w:rPr>
              <w:t>2025</w:t>
            </w:r>
          </w:p>
        </w:tc>
        <w:tc>
          <w:tcPr>
            <w:tcW w:w="280" w:type="dxa"/>
            <w:vAlign w:val="bottom"/>
          </w:tcPr>
          <w:p>
            <w:pPr>
              <w:spacing w:after="0"/>
              <w:rPr>
                <w:sz w:val="8"/>
                <w:szCs w:val="8"/>
                <w:color w:val="auto"/>
              </w:rPr>
            </w:pPr>
          </w:p>
        </w:tc>
        <w:tc>
          <w:tcPr>
            <w:tcW w:w="126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2025</w:t>
            </w:r>
          </w:p>
        </w:tc>
        <w:tc>
          <w:tcPr>
            <w:tcW w:w="300" w:type="dxa"/>
            <w:vAlign w:val="bottom"/>
          </w:tcPr>
          <w:p>
            <w:pPr>
              <w:spacing w:after="0"/>
              <w:rPr>
                <w:sz w:val="8"/>
                <w:szCs w:val="8"/>
                <w:color w:val="auto"/>
              </w:rPr>
            </w:pPr>
          </w:p>
        </w:tc>
        <w:tc>
          <w:tcPr>
            <w:tcW w:w="1320" w:type="dxa"/>
            <w:vAlign w:val="bottom"/>
          </w:tcPr>
          <w:p>
            <w:pPr>
              <w:jc w:val="center"/>
              <w:ind w:right="292"/>
              <w:spacing w:after="0" w:line="99" w:lineRule="exact"/>
              <w:rPr>
                <w:sz w:val="20"/>
                <w:szCs w:val="20"/>
                <w:color w:val="auto"/>
              </w:rPr>
            </w:pPr>
            <w:r>
              <w:rPr>
                <w:rFonts w:ascii="Arial" w:cs="Arial" w:eastAsia="Arial" w:hAnsi="Arial"/>
                <w:sz w:val="10"/>
                <w:szCs w:val="10"/>
                <w:b w:val="1"/>
                <w:bCs w:val="1"/>
                <w:color w:val="auto"/>
                <w:w w:val="98"/>
              </w:rPr>
              <w:t>2024</w:t>
            </w:r>
          </w:p>
        </w:tc>
        <w:tc>
          <w:tcPr>
            <w:tcW w:w="340" w:type="dxa"/>
            <w:vAlign w:val="bottom"/>
          </w:tcPr>
          <w:p>
            <w:pPr>
              <w:spacing w:after="0"/>
              <w:rPr>
                <w:sz w:val="8"/>
                <w:szCs w:val="8"/>
                <w:color w:val="auto"/>
              </w:rPr>
            </w:pPr>
          </w:p>
        </w:tc>
        <w:tc>
          <w:tcPr>
            <w:tcW w:w="1160" w:type="dxa"/>
            <w:vAlign w:val="bottom"/>
          </w:tcPr>
          <w:p>
            <w:pPr>
              <w:jc w:val="right"/>
              <w:ind w:right="632"/>
              <w:spacing w:after="0" w:line="99" w:lineRule="exact"/>
              <w:rPr>
                <w:sz w:val="20"/>
                <w:szCs w:val="20"/>
                <w:color w:val="auto"/>
              </w:rPr>
            </w:pPr>
            <w:r>
              <w:rPr>
                <w:rFonts w:ascii="Arial" w:cs="Arial" w:eastAsia="Arial" w:hAnsi="Arial"/>
                <w:sz w:val="10"/>
                <w:szCs w:val="10"/>
                <w:b w:val="1"/>
                <w:bCs w:val="1"/>
                <w:color w:val="auto"/>
              </w:rPr>
              <w:t>QoQ</w:t>
            </w:r>
          </w:p>
        </w:tc>
        <w:tc>
          <w:tcPr>
            <w:tcW w:w="560" w:type="dxa"/>
            <w:vAlign w:val="bottom"/>
          </w:tcPr>
          <w:p>
            <w:pPr>
              <w:spacing w:after="0"/>
              <w:rPr>
                <w:sz w:val="8"/>
                <w:szCs w:val="8"/>
                <w:color w:val="auto"/>
              </w:rPr>
            </w:pPr>
          </w:p>
        </w:tc>
        <w:tc>
          <w:tcPr>
            <w:tcW w:w="9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YoY</w:t>
            </w:r>
          </w:p>
        </w:tc>
      </w:tr>
      <w:tr>
        <w:trPr>
          <w:trHeight w:val="20"/>
        </w:trPr>
        <w:tc>
          <w:tcPr>
            <w:tcW w:w="134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9"/>
        </w:trPr>
        <w:tc>
          <w:tcPr>
            <w:tcW w:w="13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jc w:val="center"/>
              <w:ind w:right="292"/>
              <w:spacing w:after="0" w:line="109" w:lineRule="exact"/>
              <w:rPr>
                <w:sz w:val="20"/>
                <w:szCs w:val="20"/>
                <w:color w:val="auto"/>
              </w:rPr>
            </w:pPr>
            <w:r>
              <w:rPr>
                <w:rFonts w:ascii="Arial" w:cs="Arial" w:eastAsia="Arial" w:hAnsi="Arial"/>
                <w:sz w:val="10"/>
                <w:szCs w:val="10"/>
                <w:b w:val="1"/>
                <w:bCs w:val="1"/>
                <w:i w:val="1"/>
                <w:iCs w:val="1"/>
                <w:color w:val="auto"/>
                <w:w w:val="95"/>
              </w:rPr>
              <w:t>(In thousands)</w:t>
            </w: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31"/>
        </w:trPr>
        <w:tc>
          <w:tcPr>
            <w:tcW w:w="3600" w:type="dxa"/>
            <w:vAlign w:val="bottom"/>
            <w:gridSpan w:val="2"/>
          </w:tcPr>
          <w:p>
            <w:pPr>
              <w:spacing w:after="0"/>
              <w:rPr>
                <w:sz w:val="20"/>
                <w:szCs w:val="20"/>
                <w:color w:val="auto"/>
              </w:rPr>
            </w:pPr>
            <w:r>
              <w:rPr>
                <w:rFonts w:ascii="Arial" w:cs="Arial" w:eastAsia="Arial" w:hAnsi="Arial"/>
                <w:sz w:val="10"/>
                <w:szCs w:val="10"/>
                <w:color w:val="auto"/>
              </w:rPr>
              <w:t>Cash and cash equivalents</w:t>
            </w: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2,307,965</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2,398,265</w:t>
            </w:r>
          </w:p>
        </w:tc>
        <w:tc>
          <w:tcPr>
            <w:tcW w:w="3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2,502,212</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(90,300)</w:t>
            </w:r>
          </w:p>
        </w:tc>
        <w:tc>
          <w:tcPr>
            <w:tcW w:w="56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(194,247)</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Securities available-for-sale</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2,454,058</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2,426,734</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2,246,839</w:t>
            </w:r>
          </w:p>
        </w:tc>
        <w:tc>
          <w:tcPr>
            <w:tcW w:w="34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27,324</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207,219</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Securities held-to-maturity</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2,308,636</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2,303,657</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2,306,149</w:t>
            </w:r>
          </w:p>
        </w:tc>
        <w:tc>
          <w:tcPr>
            <w:tcW w:w="34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4,979</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2,487</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Loans held for sale</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182,936</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211,454</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26,331</w:t>
            </w:r>
          </w:p>
        </w:tc>
        <w:tc>
          <w:tcPr>
            <w:tcW w:w="34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(28,518)</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156,605</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Loans and leases held for investment</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25,032,679</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24,110,642</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23,781,663</w:t>
            </w:r>
          </w:p>
        </w:tc>
        <w:tc>
          <w:tcPr>
            <w:tcW w:w="34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922,037</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1,251,016</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Total loans and leases</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25,215,615</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24,322,096</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23,807,994</w:t>
            </w:r>
          </w:p>
        </w:tc>
        <w:tc>
          <w:tcPr>
            <w:tcW w:w="34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893,519</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1,407,621</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Total assets</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34,797,442</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34,012,965</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33,542,864</w:t>
            </w:r>
          </w:p>
        </w:tc>
        <w:tc>
          <w:tcPr>
            <w:tcW w:w="34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784,477</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1,254,578</w:t>
            </w:r>
          </w:p>
        </w:tc>
      </w:tr>
      <w:tr>
        <w:trPr>
          <w:trHeight w:val="279"/>
        </w:trPr>
        <w:tc>
          <w:tcPr>
            <w:tcW w:w="3600" w:type="dxa"/>
            <w:vAlign w:val="bottom"/>
            <w:gridSpan w:val="2"/>
          </w:tcPr>
          <w:p>
            <w:pPr>
              <w:spacing w:after="0"/>
              <w:rPr>
                <w:sz w:val="20"/>
                <w:szCs w:val="20"/>
                <w:color w:val="auto"/>
              </w:rPr>
            </w:pPr>
            <w:r>
              <w:rPr>
                <w:rFonts w:ascii="Arial" w:cs="Arial" w:eastAsia="Arial" w:hAnsi="Arial"/>
                <w:sz w:val="10"/>
                <w:szCs w:val="10"/>
                <w:color w:val="auto"/>
              </w:rPr>
              <w:t>Noninterest-bearing deposits</w:t>
            </w: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7,822,787</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7,603,748</w:t>
            </w:r>
          </w:p>
        </w:tc>
        <w:tc>
          <w:tcPr>
            <w:tcW w:w="3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7,719,913</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219,039</w:t>
            </w:r>
          </w:p>
        </w:tc>
        <w:tc>
          <w:tcPr>
            <w:tcW w:w="56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102,874</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Total deposits</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27,843,357</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27,184,765</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27,191,909</w:t>
            </w:r>
          </w:p>
        </w:tc>
        <w:tc>
          <w:tcPr>
            <w:tcW w:w="34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658,592</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651,448</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Borrowings</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2,063,819</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2,005,022</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1,391,814</w:t>
            </w:r>
          </w:p>
        </w:tc>
        <w:tc>
          <w:tcPr>
            <w:tcW w:w="34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58,797</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672,005</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Total liabilities</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31,256,165</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30,546,226</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30,042,915</w:t>
            </w:r>
          </w:p>
        </w:tc>
        <w:tc>
          <w:tcPr>
            <w:tcW w:w="34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709,939</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1,213,250</w:t>
            </w:r>
          </w:p>
        </w:tc>
      </w:tr>
      <w:tr>
        <w:trPr>
          <w:trHeight w:val="135"/>
        </w:trPr>
        <w:tc>
          <w:tcPr>
            <w:tcW w:w="3600" w:type="dxa"/>
            <w:vAlign w:val="bottom"/>
            <w:gridSpan w:val="2"/>
          </w:tcPr>
          <w:p>
            <w:pPr>
              <w:spacing w:after="0"/>
              <w:rPr>
                <w:sz w:val="20"/>
                <w:szCs w:val="20"/>
                <w:color w:val="auto"/>
              </w:rPr>
            </w:pPr>
            <w:r>
              <w:rPr>
                <w:rFonts w:ascii="Arial" w:cs="Arial" w:eastAsia="Arial" w:hAnsi="Arial"/>
                <w:sz w:val="10"/>
                <w:szCs w:val="10"/>
                <w:color w:val="auto"/>
              </w:rPr>
              <w:t>Total stockholders' equity</w:t>
            </w:r>
          </w:p>
        </w:tc>
        <w:tc>
          <w:tcPr>
            <w:tcW w:w="24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3,541,277</w:t>
            </w:r>
          </w:p>
        </w:tc>
        <w:tc>
          <w:tcPr>
            <w:tcW w:w="28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Arial" w:cs="Arial" w:eastAsia="Arial" w:hAnsi="Arial"/>
                <w:sz w:val="10"/>
                <w:szCs w:val="10"/>
                <w:color w:val="auto"/>
              </w:rPr>
              <w:t>3,466,739</w:t>
            </w:r>
          </w:p>
        </w:tc>
        <w:tc>
          <w:tcPr>
            <w:tcW w:w="300" w:type="dxa"/>
            <w:vAlign w:val="bottom"/>
          </w:tcPr>
          <w:p>
            <w:pPr>
              <w:spacing w:after="0"/>
              <w:rPr>
                <w:sz w:val="11"/>
                <w:szCs w:val="11"/>
                <w:color w:val="auto"/>
              </w:rPr>
            </w:pPr>
          </w:p>
        </w:tc>
        <w:tc>
          <w:tcPr>
            <w:tcW w:w="1320" w:type="dxa"/>
            <w:vAlign w:val="bottom"/>
          </w:tcPr>
          <w:p>
            <w:pPr>
              <w:jc w:val="right"/>
              <w:ind w:right="92"/>
              <w:spacing w:after="0"/>
              <w:rPr>
                <w:sz w:val="20"/>
                <w:szCs w:val="20"/>
                <w:color w:val="auto"/>
              </w:rPr>
            </w:pPr>
            <w:r>
              <w:rPr>
                <w:rFonts w:ascii="Arial" w:cs="Arial" w:eastAsia="Arial" w:hAnsi="Arial"/>
                <w:sz w:val="10"/>
                <w:szCs w:val="10"/>
                <w:color w:val="auto"/>
              </w:rPr>
              <w:t>3,499,949</w:t>
            </w:r>
          </w:p>
        </w:tc>
        <w:tc>
          <w:tcPr>
            <w:tcW w:w="34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74,538</w:t>
            </w: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41,328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Securities</w:t>
      </w:r>
    </w:p>
    <w:p>
      <w:pPr>
        <w:spacing w:after="0" w:line="76"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Securities available-for-sale ("AFS") increased by $27.3 million during the fourth quarter to $2.5 billion at December 31, 2025. The increase was primarily driven by $ 160.9 million of purchases and a $15.7 million increase in the fair value of AFS securities, offset partially by $118.6 million of principal paydowns, $29.3 million of maturities, and $ 1.4 million of net amortization. As of December 31, 2025, AFS securities had aggregate unrealized net after-tax losses in accumulated other comprehensive income (loss) ("AOCI") of $136.6 million, down from $147.9 million at September 30, 2025. AFS securities recorded lower unrealized net losses quarter over quarter, driven by a slight decline in interest rates, which positively impacted fair values.</w:t>
      </w:r>
    </w:p>
    <w:p>
      <w:pPr>
        <w:spacing w:after="0" w:line="45"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The balance of securities held-to-maturity ("HTM") increased by $5.0 million in the fourth quarter to $2.3 billion at December 31, 2025. As of December 31, 2025, HTM securities had aggregate unrealized net after-tax losses in AOCI of $133.4 million remaining from the balance established at the time of transfer from AFS.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54864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8</w:t>
      </w:r>
    </w:p>
    <w:p>
      <w:pPr>
        <w:sectPr>
          <w:pgSz w:w="11900" w:h="16838" w:orient="portrait"/>
          <w:cols w:equalWidth="0" w:num="1">
            <w:col w:w="11280"/>
          </w:cols>
          <w:pgMar w:left="300" w:top="991" w:right="31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Loans and Leases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composition, by loan category, of our loan and lease portfolio held for investment as of the dates indicated:</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June 30,</w:t>
            </w:r>
          </w:p>
        </w:tc>
        <w:tc>
          <w:tcPr>
            <w:tcW w:w="30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0"/>
                <w:szCs w:val="10"/>
                <w:b w:val="1"/>
                <w:bCs w:val="1"/>
                <w:color w:val="auto"/>
              </w:rPr>
              <w:t>March 31,</w:t>
            </w:r>
          </w:p>
        </w:tc>
        <w:tc>
          <w:tcPr>
            <w:tcW w:w="260" w:type="dxa"/>
            <w:vAlign w:val="bottom"/>
          </w:tcPr>
          <w:p>
            <w:pPr>
              <w:spacing w:after="0"/>
              <w:rPr>
                <w:sz w:val="11"/>
                <w:szCs w:val="11"/>
                <w:color w:val="auto"/>
              </w:rPr>
            </w:pPr>
          </w:p>
        </w:tc>
        <w:tc>
          <w:tcPr>
            <w:tcW w:w="1240" w:type="dxa"/>
            <w:vAlign w:val="bottom"/>
          </w:tcPr>
          <w:p>
            <w:pPr>
              <w:jc w:val="right"/>
              <w:ind w:right="392"/>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23"/>
        </w:trPr>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0"/>
                <w:szCs w:val="10"/>
                <w:b w:val="1"/>
                <w:bCs w:val="1"/>
                <w:i w:val="1"/>
                <w:iCs w:val="1"/>
                <w:color w:val="auto"/>
                <w:w w:val="96"/>
              </w:rPr>
              <w:t>(Dollars in thousands)</w:t>
            </w: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380" w:type="dxa"/>
            <w:vAlign w:val="bottom"/>
            <w:gridSpan w:val="3"/>
          </w:tcPr>
          <w:p>
            <w:pPr>
              <w:spacing w:after="0" w:line="110" w:lineRule="exact"/>
              <w:rPr>
                <w:sz w:val="20"/>
                <w:szCs w:val="20"/>
                <w:color w:val="auto"/>
              </w:rPr>
            </w:pPr>
            <w:r>
              <w:rPr>
                <w:rFonts w:ascii="Arial" w:cs="Arial" w:eastAsia="Arial" w:hAnsi="Arial"/>
                <w:sz w:val="10"/>
                <w:szCs w:val="10"/>
                <w:b w:val="1"/>
                <w:bCs w:val="1"/>
                <w:color w:val="auto"/>
              </w:rPr>
              <w:t>Composition of Loans and Leases</w:t>
            </w: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Real estate mortgage:</w:t>
            </w: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Commercial</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4,314,637</w:t>
            </w:r>
          </w:p>
        </w:tc>
        <w:tc>
          <w:tcPr>
            <w:tcW w:w="10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4,292,625</w:t>
            </w:r>
          </w:p>
        </w:tc>
        <w:tc>
          <w:tcPr>
            <w:tcW w:w="10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4,369,401</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4,489,543</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4,578,772</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Multi-family</w:t>
            </w: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6,089,417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6,124,673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6,280,791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6,216,084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6,041,713</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Other residential</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3,346,733</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3,162,564</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3,157,616</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2,787,031</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2,807,174</w:t>
            </w:r>
          </w:p>
        </w:tc>
        <w:tc>
          <w:tcPr>
            <w:tcW w:w="0" w:type="dxa"/>
            <w:vAlign w:val="bottom"/>
          </w:tcPr>
          <w:p>
            <w:pPr>
              <w:spacing w:after="0"/>
              <w:rPr>
                <w:sz w:val="1"/>
                <w:szCs w:val="1"/>
                <w:color w:val="auto"/>
              </w:rPr>
            </w:pPr>
          </w:p>
        </w:tc>
      </w:tr>
      <w:tr>
        <w:trPr>
          <w:trHeight w:val="124"/>
        </w:trPr>
        <w:tc>
          <w:tcPr>
            <w:tcW w:w="3380" w:type="dxa"/>
            <w:vAlign w:val="bottom"/>
            <w:gridSpan w:val="3"/>
          </w:tcPr>
          <w:p>
            <w:pPr>
              <w:ind w:left="140"/>
              <w:spacing w:after="0"/>
              <w:rPr>
                <w:sz w:val="20"/>
                <w:szCs w:val="20"/>
                <w:color w:val="auto"/>
              </w:rPr>
            </w:pPr>
            <w:r>
              <w:rPr>
                <w:rFonts w:ascii="Arial" w:cs="Arial" w:eastAsia="Arial" w:hAnsi="Arial"/>
                <w:sz w:val="10"/>
                <w:szCs w:val="10"/>
                <w:color w:val="auto"/>
              </w:rPr>
              <w:t>Total real estate mortgage</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13,750,787</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13,579,862</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13,807,808</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13,492,658</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13,427,659</w:t>
            </w:r>
          </w:p>
        </w:tc>
        <w:tc>
          <w:tcPr>
            <w:tcW w:w="0" w:type="dxa"/>
            <w:vAlign w:val="bottom"/>
          </w:tcPr>
          <w:p>
            <w:pPr>
              <w:spacing w:after="0"/>
              <w:rPr>
                <w:sz w:val="1"/>
                <w:szCs w:val="1"/>
                <w:color w:val="auto"/>
              </w:rPr>
            </w:pPr>
          </w:p>
        </w:tc>
      </w:tr>
      <w:tr>
        <w:trPr>
          <w:trHeight w:val="115"/>
        </w:trPr>
        <w:tc>
          <w:tcPr>
            <w:tcW w:w="3380" w:type="dxa"/>
            <w:vAlign w:val="bottom"/>
            <w:gridSpan w:val="3"/>
          </w:tcPr>
          <w:p>
            <w:pPr>
              <w:spacing w:after="0"/>
              <w:rPr>
                <w:sz w:val="20"/>
                <w:szCs w:val="20"/>
                <w:color w:val="auto"/>
              </w:rPr>
            </w:pPr>
            <w:r>
              <w:rPr>
                <w:rFonts w:ascii="Arial" w:cs="Arial" w:eastAsia="Arial" w:hAnsi="Arial"/>
                <w:sz w:val="10"/>
                <w:szCs w:val="10"/>
                <w:color w:val="auto"/>
              </w:rPr>
              <w:t>Real estate construction and land:</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Commercial</w:t>
            </w: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379,387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395,150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381,449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733,684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799,131</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Residential</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1,568,240</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1,759,676</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1,920,642</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2,127,354</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2,373,162</w:t>
            </w:r>
          </w:p>
        </w:tc>
        <w:tc>
          <w:tcPr>
            <w:tcW w:w="0" w:type="dxa"/>
            <w:vAlign w:val="bottom"/>
          </w:tcPr>
          <w:p>
            <w:pPr>
              <w:spacing w:after="0"/>
              <w:rPr>
                <w:sz w:val="1"/>
                <w:szCs w:val="1"/>
                <w:color w:val="auto"/>
              </w:rPr>
            </w:pPr>
          </w:p>
        </w:tc>
      </w:tr>
      <w:tr>
        <w:trPr>
          <w:trHeight w:val="124"/>
        </w:trPr>
        <w:tc>
          <w:tcPr>
            <w:tcW w:w="3380" w:type="dxa"/>
            <w:vAlign w:val="bottom"/>
            <w:gridSpan w:val="3"/>
          </w:tcPr>
          <w:p>
            <w:pPr>
              <w:ind w:left="140"/>
              <w:spacing w:after="0"/>
              <w:rPr>
                <w:sz w:val="20"/>
                <w:szCs w:val="20"/>
                <w:color w:val="auto"/>
              </w:rPr>
            </w:pPr>
            <w:r>
              <w:rPr>
                <w:rFonts w:ascii="Arial" w:cs="Arial" w:eastAsia="Arial" w:hAnsi="Arial"/>
                <w:sz w:val="10"/>
                <w:szCs w:val="10"/>
                <w:color w:val="auto"/>
              </w:rPr>
              <w:t>Total real estate construction and land</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1,947,627</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2,154,826</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2,302,091</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2,861,038</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3,172,293</w:t>
            </w:r>
          </w:p>
        </w:tc>
        <w:tc>
          <w:tcPr>
            <w:tcW w:w="0" w:type="dxa"/>
            <w:vAlign w:val="bottom"/>
          </w:tcPr>
          <w:p>
            <w:pPr>
              <w:spacing w:after="0"/>
              <w:rPr>
                <w:sz w:val="1"/>
                <w:szCs w:val="1"/>
                <w:color w:val="auto"/>
              </w:rPr>
            </w:pPr>
          </w:p>
        </w:tc>
      </w:tr>
      <w:tr>
        <w:trPr>
          <w:trHeight w:val="124"/>
        </w:trPr>
        <w:tc>
          <w:tcPr>
            <w:tcW w:w="3380" w:type="dxa"/>
            <w:vAlign w:val="bottom"/>
            <w:gridSpan w:val="3"/>
          </w:tcPr>
          <w:p>
            <w:pPr>
              <w:ind w:left="220"/>
              <w:spacing w:after="0"/>
              <w:rPr>
                <w:sz w:val="20"/>
                <w:szCs w:val="20"/>
                <w:color w:val="auto"/>
              </w:rPr>
            </w:pPr>
            <w:r>
              <w:rPr>
                <w:rFonts w:ascii="Arial" w:cs="Arial" w:eastAsia="Arial" w:hAnsi="Arial"/>
                <w:sz w:val="10"/>
                <w:szCs w:val="10"/>
                <w:color w:val="auto"/>
              </w:rPr>
              <w:t>Total real estate</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15,698,414</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15,734,688</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16,109,899</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16,353,696</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16,599,952</w:t>
            </w:r>
          </w:p>
        </w:tc>
        <w:tc>
          <w:tcPr>
            <w:tcW w:w="0" w:type="dxa"/>
            <w:vAlign w:val="bottom"/>
          </w:tcPr>
          <w:p>
            <w:pPr>
              <w:spacing w:after="0"/>
              <w:rPr>
                <w:sz w:val="1"/>
                <w:szCs w:val="1"/>
                <w:color w:val="auto"/>
              </w:rPr>
            </w:pPr>
          </w:p>
        </w:tc>
      </w:tr>
      <w:tr>
        <w:trPr>
          <w:trHeight w:val="115"/>
        </w:trPr>
        <w:tc>
          <w:tcPr>
            <w:tcW w:w="3380" w:type="dxa"/>
            <w:vAlign w:val="bottom"/>
            <w:gridSpan w:val="3"/>
          </w:tcPr>
          <w:p>
            <w:pPr>
              <w:spacing w:after="0"/>
              <w:rPr>
                <w:sz w:val="20"/>
                <w:szCs w:val="20"/>
                <w:color w:val="auto"/>
              </w:rPr>
            </w:pPr>
            <w:r>
              <w:rPr>
                <w:rFonts w:ascii="Arial" w:cs="Arial" w:eastAsia="Arial" w:hAnsi="Arial"/>
                <w:sz w:val="10"/>
                <w:szCs w:val="10"/>
                <w:color w:val="auto"/>
              </w:rPr>
              <w:t>Commercial:</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Asset-based</w:t>
            </w: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2,951,010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2,742,519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2,462,351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2,305,325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2,087,969</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Venture capital</w:t>
            </w: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2,222,097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1,907,601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2,002,601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1,733,074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1,537,776</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Other commercial</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3,804,099</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3,356,537</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3,288,305</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3,340,400</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3,153,084</w:t>
            </w:r>
          </w:p>
        </w:tc>
        <w:tc>
          <w:tcPr>
            <w:tcW w:w="0" w:type="dxa"/>
            <w:vAlign w:val="bottom"/>
          </w:tcPr>
          <w:p>
            <w:pPr>
              <w:spacing w:after="0"/>
              <w:rPr>
                <w:sz w:val="1"/>
                <w:szCs w:val="1"/>
                <w:color w:val="auto"/>
              </w:rPr>
            </w:pPr>
          </w:p>
        </w:tc>
      </w:tr>
      <w:tr>
        <w:trPr>
          <w:trHeight w:val="124"/>
        </w:trPr>
        <w:tc>
          <w:tcPr>
            <w:tcW w:w="3380" w:type="dxa"/>
            <w:vAlign w:val="bottom"/>
            <w:gridSpan w:val="3"/>
          </w:tcPr>
          <w:p>
            <w:pPr>
              <w:ind w:left="140"/>
              <w:spacing w:after="0"/>
              <w:rPr>
                <w:sz w:val="20"/>
                <w:szCs w:val="20"/>
                <w:color w:val="auto"/>
              </w:rPr>
            </w:pPr>
            <w:r>
              <w:rPr>
                <w:rFonts w:ascii="Arial" w:cs="Arial" w:eastAsia="Arial" w:hAnsi="Arial"/>
                <w:sz w:val="10"/>
                <w:szCs w:val="10"/>
                <w:color w:val="auto"/>
              </w:rPr>
              <w:t>Total commercial</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8,977,206</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8,006,657</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7,753,257</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7,378,799</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6,778,829</w:t>
            </w:r>
          </w:p>
        </w:tc>
        <w:tc>
          <w:tcPr>
            <w:tcW w:w="0" w:type="dxa"/>
            <w:vAlign w:val="bottom"/>
          </w:tcPr>
          <w:p>
            <w:pPr>
              <w:spacing w:after="0"/>
              <w:rPr>
                <w:sz w:val="1"/>
                <w:szCs w:val="1"/>
                <w:color w:val="auto"/>
              </w:rPr>
            </w:pPr>
          </w:p>
        </w:tc>
      </w:tr>
      <w:tr>
        <w:trPr>
          <w:trHeight w:val="124"/>
        </w:trPr>
        <w:tc>
          <w:tcPr>
            <w:tcW w:w="3380" w:type="dxa"/>
            <w:vAlign w:val="bottom"/>
            <w:gridSpan w:val="3"/>
          </w:tcPr>
          <w:p>
            <w:pPr>
              <w:spacing w:after="0"/>
              <w:rPr>
                <w:sz w:val="20"/>
                <w:szCs w:val="20"/>
                <w:color w:val="auto"/>
              </w:rPr>
            </w:pPr>
            <w:r>
              <w:rPr>
                <w:rFonts w:ascii="Arial" w:cs="Arial" w:eastAsia="Arial" w:hAnsi="Arial"/>
                <w:sz w:val="10"/>
                <w:szCs w:val="10"/>
                <w:color w:val="auto"/>
              </w:rPr>
              <w:t>Consumer</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357,059</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369,297</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382,737</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394,032</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402,882</w:t>
            </w:r>
          </w:p>
        </w:tc>
        <w:tc>
          <w:tcPr>
            <w:tcW w:w="0" w:type="dxa"/>
            <w:vAlign w:val="bottom"/>
          </w:tcPr>
          <w:p>
            <w:pPr>
              <w:spacing w:after="0"/>
              <w:rPr>
                <w:sz w:val="1"/>
                <w:szCs w:val="1"/>
                <w:color w:val="auto"/>
              </w:rPr>
            </w:pPr>
          </w:p>
        </w:tc>
      </w:tr>
      <w:tr>
        <w:trPr>
          <w:trHeight w:val="115"/>
        </w:trPr>
        <w:tc>
          <w:tcPr>
            <w:tcW w:w="3380" w:type="dxa"/>
            <w:vAlign w:val="bottom"/>
            <w:gridSpan w:val="3"/>
          </w:tcPr>
          <w:p>
            <w:pPr>
              <w:ind w:left="140"/>
              <w:spacing w:after="0"/>
              <w:rPr>
                <w:sz w:val="20"/>
                <w:szCs w:val="20"/>
                <w:color w:val="auto"/>
              </w:rPr>
            </w:pPr>
            <w:r>
              <w:rPr>
                <w:rFonts w:ascii="Arial" w:cs="Arial" w:eastAsia="Arial" w:hAnsi="Arial"/>
                <w:sz w:val="10"/>
                <w:szCs w:val="10"/>
                <w:color w:val="auto"/>
              </w:rPr>
              <w:t>Total loans and leases held for</w:t>
            </w:r>
          </w:p>
        </w:tc>
        <w:tc>
          <w:tcPr>
            <w:tcW w:w="260" w:type="dxa"/>
            <w:vAlign w:val="bottom"/>
            <w:vMerge w:val="restart"/>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vMerge w:val="restart"/>
          </w:tcPr>
          <w:p>
            <w:pPr>
              <w:jc w:val="right"/>
              <w:ind w:right="72"/>
              <w:spacing w:after="0"/>
              <w:rPr>
                <w:sz w:val="20"/>
                <w:szCs w:val="20"/>
                <w:color w:val="auto"/>
              </w:rPr>
            </w:pPr>
            <w:r>
              <w:rPr>
                <w:rFonts w:ascii="Arial" w:cs="Arial" w:eastAsia="Arial" w:hAnsi="Arial"/>
                <w:sz w:val="10"/>
                <w:szCs w:val="10"/>
                <w:color w:val="auto"/>
              </w:rPr>
              <w:t>25,032,679</w:t>
            </w:r>
          </w:p>
        </w:tc>
        <w:tc>
          <w:tcPr>
            <w:tcW w:w="100" w:type="dxa"/>
            <w:vAlign w:val="bottom"/>
          </w:tcPr>
          <w:p>
            <w:pPr>
              <w:spacing w:after="0"/>
              <w:rPr>
                <w:sz w:val="10"/>
                <w:szCs w:val="10"/>
                <w:color w:val="auto"/>
              </w:rPr>
            </w:pPr>
          </w:p>
        </w:tc>
        <w:tc>
          <w:tcPr>
            <w:tcW w:w="240" w:type="dxa"/>
            <w:vAlign w:val="bottom"/>
            <w:vMerge w:val="restart"/>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vMerge w:val="restart"/>
          </w:tcPr>
          <w:p>
            <w:pPr>
              <w:jc w:val="right"/>
              <w:ind w:right="72"/>
              <w:spacing w:after="0"/>
              <w:rPr>
                <w:sz w:val="20"/>
                <w:szCs w:val="20"/>
                <w:color w:val="auto"/>
              </w:rPr>
            </w:pPr>
            <w:r>
              <w:rPr>
                <w:rFonts w:ascii="Arial" w:cs="Arial" w:eastAsia="Arial" w:hAnsi="Arial"/>
                <w:sz w:val="10"/>
                <w:szCs w:val="10"/>
                <w:color w:val="auto"/>
              </w:rPr>
              <w:t>24,110,642</w:t>
            </w:r>
          </w:p>
        </w:tc>
        <w:tc>
          <w:tcPr>
            <w:tcW w:w="100" w:type="dxa"/>
            <w:vAlign w:val="bottom"/>
          </w:tcPr>
          <w:p>
            <w:pPr>
              <w:spacing w:after="0"/>
              <w:rPr>
                <w:sz w:val="10"/>
                <w:szCs w:val="10"/>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vMerge w:val="restart"/>
          </w:tcPr>
          <w:p>
            <w:pPr>
              <w:jc w:val="right"/>
              <w:ind w:right="92"/>
              <w:spacing w:after="0"/>
              <w:rPr>
                <w:sz w:val="20"/>
                <w:szCs w:val="20"/>
                <w:color w:val="auto"/>
              </w:rPr>
            </w:pPr>
            <w:r>
              <w:rPr>
                <w:rFonts w:ascii="Arial" w:cs="Arial" w:eastAsia="Arial" w:hAnsi="Arial"/>
                <w:sz w:val="10"/>
                <w:szCs w:val="10"/>
                <w:color w:val="auto"/>
              </w:rPr>
              <w:t>24,245,893</w:t>
            </w:r>
          </w:p>
        </w:tc>
        <w:tc>
          <w:tcPr>
            <w:tcW w:w="80" w:type="dxa"/>
            <w:vAlign w:val="bottom"/>
          </w:tcPr>
          <w:p>
            <w:pPr>
              <w:spacing w:after="0"/>
              <w:rPr>
                <w:sz w:val="10"/>
                <w:szCs w:val="10"/>
                <w:color w:val="auto"/>
              </w:rPr>
            </w:pP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auto"/>
                <w:w w:val="71"/>
              </w:rPr>
              <w:t>$</w:t>
            </w:r>
          </w:p>
        </w:tc>
        <w:tc>
          <w:tcPr>
            <w:tcW w:w="1200" w:type="dxa"/>
            <w:vAlign w:val="bottom"/>
            <w:vMerge w:val="restart"/>
          </w:tcPr>
          <w:p>
            <w:pPr>
              <w:jc w:val="right"/>
              <w:ind w:right="72"/>
              <w:spacing w:after="0"/>
              <w:rPr>
                <w:sz w:val="20"/>
                <w:szCs w:val="20"/>
                <w:color w:val="auto"/>
              </w:rPr>
            </w:pPr>
            <w:r>
              <w:rPr>
                <w:rFonts w:ascii="Arial" w:cs="Arial" w:eastAsia="Arial" w:hAnsi="Arial"/>
                <w:sz w:val="10"/>
                <w:szCs w:val="10"/>
                <w:color w:val="auto"/>
              </w:rPr>
              <w:t>24,126,527</w:t>
            </w:r>
          </w:p>
        </w:tc>
        <w:tc>
          <w:tcPr>
            <w:tcW w:w="80" w:type="dxa"/>
            <w:vAlign w:val="bottom"/>
          </w:tcPr>
          <w:p>
            <w:pPr>
              <w:spacing w:after="0"/>
              <w:rPr>
                <w:sz w:val="10"/>
                <w:szCs w:val="10"/>
                <w:color w:val="auto"/>
              </w:rPr>
            </w:pPr>
          </w:p>
        </w:tc>
        <w:tc>
          <w:tcPr>
            <w:tcW w:w="260" w:type="dxa"/>
            <w:vAlign w:val="bottom"/>
            <w:vMerge w:val="restart"/>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vMerge w:val="restart"/>
          </w:tcPr>
          <w:p>
            <w:pPr>
              <w:jc w:val="right"/>
              <w:ind w:right="72"/>
              <w:spacing w:after="0"/>
              <w:rPr>
                <w:sz w:val="20"/>
                <w:szCs w:val="20"/>
                <w:color w:val="auto"/>
              </w:rPr>
            </w:pPr>
            <w:r>
              <w:rPr>
                <w:rFonts w:ascii="Arial" w:cs="Arial" w:eastAsia="Arial" w:hAnsi="Arial"/>
                <w:sz w:val="10"/>
                <w:szCs w:val="10"/>
                <w:color w:val="auto"/>
              </w:rPr>
              <w:t>23,781,663</w:t>
            </w:r>
          </w:p>
        </w:tc>
        <w:tc>
          <w:tcPr>
            <w:tcW w:w="0" w:type="dxa"/>
            <w:vAlign w:val="bottom"/>
          </w:tcPr>
          <w:p>
            <w:pPr>
              <w:spacing w:after="0"/>
              <w:rPr>
                <w:sz w:val="1"/>
                <w:szCs w:val="1"/>
                <w:color w:val="auto"/>
              </w:rPr>
            </w:pPr>
          </w:p>
        </w:tc>
      </w:tr>
      <w:tr>
        <w:trPr>
          <w:trHeight w:val="146"/>
        </w:trPr>
        <w:tc>
          <w:tcPr>
            <w:tcW w:w="3380" w:type="dxa"/>
            <w:vAlign w:val="bottom"/>
            <w:gridSpan w:val="3"/>
          </w:tcPr>
          <w:p>
            <w:pPr>
              <w:jc w:val="center"/>
              <w:ind w:right="2500"/>
              <w:spacing w:after="0"/>
              <w:rPr>
                <w:sz w:val="20"/>
                <w:szCs w:val="20"/>
                <w:color w:val="auto"/>
              </w:rPr>
            </w:pPr>
            <w:r>
              <w:rPr>
                <w:rFonts w:ascii="Arial" w:cs="Arial" w:eastAsia="Arial" w:hAnsi="Arial"/>
                <w:sz w:val="10"/>
                <w:szCs w:val="10"/>
                <w:color w:val="auto"/>
                <w:w w:val="99"/>
              </w:rPr>
              <w:t>investment</w:t>
            </w:r>
          </w:p>
        </w:tc>
        <w:tc>
          <w:tcPr>
            <w:tcW w:w="26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80" w:type="dxa"/>
            <w:vAlign w:val="bottom"/>
            <w:gridSpan w:val="3"/>
          </w:tcPr>
          <w:p>
            <w:pPr>
              <w:spacing w:after="0"/>
              <w:rPr>
                <w:sz w:val="20"/>
                <w:szCs w:val="20"/>
                <w:color w:val="auto"/>
              </w:rPr>
            </w:pPr>
            <w:r>
              <w:rPr>
                <w:rFonts w:ascii="Arial" w:cs="Arial" w:eastAsia="Arial" w:hAnsi="Arial"/>
                <w:sz w:val="10"/>
                <w:szCs w:val="10"/>
                <w:color w:val="auto"/>
              </w:rPr>
              <w:t>Total unfunded loan commitments</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5,433,357</w:t>
            </w:r>
          </w:p>
        </w:tc>
        <w:tc>
          <w:tcPr>
            <w:tcW w:w="100" w:type="dxa"/>
            <w:vAlign w:val="bottom"/>
          </w:tcPr>
          <w:p>
            <w:pPr>
              <w:spacing w:after="0"/>
              <w:rPr>
                <w:sz w:val="20"/>
                <w:szCs w:val="2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4,822,917</w:t>
            </w:r>
          </w:p>
        </w:tc>
        <w:tc>
          <w:tcPr>
            <w:tcW w:w="100" w:type="dxa"/>
            <w:vAlign w:val="bottom"/>
          </w:tcPr>
          <w:p>
            <w:pPr>
              <w:spacing w:after="0"/>
              <w:rPr>
                <w:sz w:val="20"/>
                <w:szCs w:val="2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4,673,596</w:t>
            </w:r>
          </w:p>
        </w:tc>
        <w:tc>
          <w:tcPr>
            <w:tcW w:w="80" w:type="dxa"/>
            <w:vAlign w:val="bottom"/>
          </w:tcPr>
          <w:p>
            <w:pPr>
              <w:spacing w:after="0"/>
              <w:rPr>
                <w:sz w:val="20"/>
                <w:szCs w:val="20"/>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4,858,960</w:t>
            </w:r>
          </w:p>
        </w:tc>
        <w:tc>
          <w:tcPr>
            <w:tcW w:w="80" w:type="dxa"/>
            <w:vAlign w:val="bottom"/>
          </w:tcPr>
          <w:p>
            <w:pPr>
              <w:spacing w:after="0"/>
              <w:rPr>
                <w:sz w:val="20"/>
                <w:szCs w:val="20"/>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4,887,690</w:t>
            </w:r>
          </w:p>
        </w:tc>
        <w:tc>
          <w:tcPr>
            <w:tcW w:w="0" w:type="dxa"/>
            <w:vAlign w:val="bottom"/>
          </w:tcPr>
          <w:p>
            <w:pPr>
              <w:spacing w:after="0"/>
              <w:rPr>
                <w:sz w:val="1"/>
                <w:szCs w:val="1"/>
                <w:color w:val="auto"/>
              </w:rPr>
            </w:pPr>
          </w:p>
        </w:tc>
      </w:tr>
      <w:tr>
        <w:trPr>
          <w:trHeight w:val="283"/>
        </w:trPr>
        <w:tc>
          <w:tcPr>
            <w:tcW w:w="3380" w:type="dxa"/>
            <w:vAlign w:val="bottom"/>
            <w:gridSpan w:val="3"/>
          </w:tcPr>
          <w:p>
            <w:pPr>
              <w:spacing w:after="0"/>
              <w:rPr>
                <w:sz w:val="20"/>
                <w:szCs w:val="20"/>
                <w:color w:val="auto"/>
              </w:rPr>
            </w:pPr>
            <w:r>
              <w:rPr>
                <w:rFonts w:ascii="Arial" w:cs="Arial" w:eastAsia="Arial" w:hAnsi="Arial"/>
                <w:sz w:val="10"/>
                <w:szCs w:val="10"/>
                <w:b w:val="1"/>
                <w:bCs w:val="1"/>
                <w:color w:val="auto"/>
              </w:rPr>
              <w:t>Composition as % of Total</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jc w:val="center"/>
              <w:spacing w:after="0" w:line="110" w:lineRule="exact"/>
              <w:rPr>
                <w:sz w:val="20"/>
                <w:szCs w:val="20"/>
                <w:color w:val="auto"/>
              </w:rPr>
            </w:pPr>
            <w:r>
              <w:rPr>
                <w:rFonts w:ascii="Arial" w:cs="Arial" w:eastAsia="Arial" w:hAnsi="Arial"/>
                <w:sz w:val="10"/>
                <w:szCs w:val="10"/>
                <w:b w:val="1"/>
                <w:bCs w:val="1"/>
                <w:color w:val="auto"/>
                <w:w w:val="96"/>
              </w:rPr>
              <w:t>Loans and Leases</w:t>
            </w:r>
          </w:p>
        </w:tc>
        <w:tc>
          <w:tcPr>
            <w:tcW w:w="25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380" w:type="dxa"/>
            <w:vAlign w:val="bottom"/>
            <w:gridSpan w:val="3"/>
          </w:tcPr>
          <w:p>
            <w:pPr>
              <w:spacing w:after="0"/>
              <w:rPr>
                <w:sz w:val="20"/>
                <w:szCs w:val="20"/>
                <w:color w:val="auto"/>
              </w:rPr>
            </w:pPr>
            <w:r>
              <w:rPr>
                <w:rFonts w:ascii="Arial" w:cs="Arial" w:eastAsia="Arial" w:hAnsi="Arial"/>
                <w:sz w:val="10"/>
                <w:szCs w:val="10"/>
                <w:color w:val="auto"/>
              </w:rPr>
              <w:t>Real estate mortgage:</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Commercial</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17 %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18 %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19 %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19 %</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Multi-family</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24 %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25 %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26 %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26 %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26 %</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Other residential</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14 %</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13 %</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13 %</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11 %</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12 %</w:t>
            </w:r>
          </w:p>
        </w:tc>
        <w:tc>
          <w:tcPr>
            <w:tcW w:w="0" w:type="dxa"/>
            <w:vAlign w:val="bottom"/>
          </w:tcPr>
          <w:p>
            <w:pPr>
              <w:spacing w:after="0"/>
              <w:rPr>
                <w:sz w:val="1"/>
                <w:szCs w:val="1"/>
                <w:color w:val="auto"/>
              </w:rPr>
            </w:pPr>
          </w:p>
        </w:tc>
      </w:tr>
      <w:tr>
        <w:trPr>
          <w:trHeight w:val="124"/>
        </w:trPr>
        <w:tc>
          <w:tcPr>
            <w:tcW w:w="3380" w:type="dxa"/>
            <w:vAlign w:val="bottom"/>
            <w:gridSpan w:val="3"/>
          </w:tcPr>
          <w:p>
            <w:pPr>
              <w:ind w:left="140"/>
              <w:spacing w:after="0"/>
              <w:rPr>
                <w:sz w:val="20"/>
                <w:szCs w:val="20"/>
                <w:color w:val="auto"/>
              </w:rPr>
            </w:pPr>
            <w:r>
              <w:rPr>
                <w:rFonts w:ascii="Arial" w:cs="Arial" w:eastAsia="Arial" w:hAnsi="Arial"/>
                <w:sz w:val="10"/>
                <w:szCs w:val="10"/>
                <w:color w:val="auto"/>
              </w:rPr>
              <w:t>Total real estate mortgage</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55 %</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56 %</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57 %</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56 %</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57 %</w:t>
            </w:r>
          </w:p>
        </w:tc>
        <w:tc>
          <w:tcPr>
            <w:tcW w:w="0" w:type="dxa"/>
            <w:vAlign w:val="bottom"/>
          </w:tcPr>
          <w:p>
            <w:pPr>
              <w:spacing w:after="0"/>
              <w:rPr>
                <w:sz w:val="1"/>
                <w:szCs w:val="1"/>
                <w:color w:val="auto"/>
              </w:rPr>
            </w:pPr>
          </w:p>
        </w:tc>
      </w:tr>
      <w:tr>
        <w:trPr>
          <w:trHeight w:val="115"/>
        </w:trPr>
        <w:tc>
          <w:tcPr>
            <w:tcW w:w="3380" w:type="dxa"/>
            <w:vAlign w:val="bottom"/>
            <w:gridSpan w:val="3"/>
          </w:tcPr>
          <w:p>
            <w:pPr>
              <w:spacing w:after="0"/>
              <w:rPr>
                <w:sz w:val="20"/>
                <w:szCs w:val="20"/>
                <w:color w:val="auto"/>
              </w:rPr>
            </w:pPr>
            <w:r>
              <w:rPr>
                <w:rFonts w:ascii="Arial" w:cs="Arial" w:eastAsia="Arial" w:hAnsi="Arial"/>
                <w:sz w:val="10"/>
                <w:szCs w:val="10"/>
                <w:color w:val="auto"/>
              </w:rPr>
              <w:t>Real estate construction and land:</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Commercial</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3 %</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Residential</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6 %</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7 %</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8 %</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9 %</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10 %</w:t>
            </w:r>
          </w:p>
        </w:tc>
        <w:tc>
          <w:tcPr>
            <w:tcW w:w="0" w:type="dxa"/>
            <w:vAlign w:val="bottom"/>
          </w:tcPr>
          <w:p>
            <w:pPr>
              <w:spacing w:after="0"/>
              <w:rPr>
                <w:sz w:val="1"/>
                <w:szCs w:val="1"/>
                <w:color w:val="auto"/>
              </w:rPr>
            </w:pPr>
          </w:p>
        </w:tc>
      </w:tr>
      <w:tr>
        <w:trPr>
          <w:trHeight w:val="124"/>
        </w:trPr>
        <w:tc>
          <w:tcPr>
            <w:tcW w:w="3380" w:type="dxa"/>
            <w:vAlign w:val="bottom"/>
            <w:gridSpan w:val="3"/>
          </w:tcPr>
          <w:p>
            <w:pPr>
              <w:ind w:left="140"/>
              <w:spacing w:after="0"/>
              <w:rPr>
                <w:sz w:val="20"/>
                <w:szCs w:val="20"/>
                <w:color w:val="auto"/>
              </w:rPr>
            </w:pPr>
            <w:r>
              <w:rPr>
                <w:rFonts w:ascii="Arial" w:cs="Arial" w:eastAsia="Arial" w:hAnsi="Arial"/>
                <w:sz w:val="10"/>
                <w:szCs w:val="10"/>
                <w:color w:val="auto"/>
              </w:rPr>
              <w:t>Total real estate construction and land</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8 %</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9 %</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9 %</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12 %</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13 %</w:t>
            </w:r>
          </w:p>
        </w:tc>
        <w:tc>
          <w:tcPr>
            <w:tcW w:w="0" w:type="dxa"/>
            <w:vAlign w:val="bottom"/>
          </w:tcPr>
          <w:p>
            <w:pPr>
              <w:spacing w:after="0"/>
              <w:rPr>
                <w:sz w:val="1"/>
                <w:szCs w:val="1"/>
                <w:color w:val="auto"/>
              </w:rPr>
            </w:pPr>
          </w:p>
        </w:tc>
      </w:tr>
      <w:tr>
        <w:trPr>
          <w:trHeight w:val="124"/>
        </w:trPr>
        <w:tc>
          <w:tcPr>
            <w:tcW w:w="3380" w:type="dxa"/>
            <w:vAlign w:val="bottom"/>
            <w:gridSpan w:val="3"/>
          </w:tcPr>
          <w:p>
            <w:pPr>
              <w:ind w:left="220"/>
              <w:spacing w:after="0"/>
              <w:rPr>
                <w:sz w:val="20"/>
                <w:szCs w:val="20"/>
                <w:color w:val="auto"/>
              </w:rPr>
            </w:pPr>
            <w:r>
              <w:rPr>
                <w:rFonts w:ascii="Arial" w:cs="Arial" w:eastAsia="Arial" w:hAnsi="Arial"/>
                <w:sz w:val="10"/>
                <w:szCs w:val="10"/>
                <w:color w:val="auto"/>
              </w:rPr>
              <w:t>Total real estate</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63 %</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65 %</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66 %</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68 %</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70 %</w:t>
            </w:r>
          </w:p>
        </w:tc>
        <w:tc>
          <w:tcPr>
            <w:tcW w:w="0" w:type="dxa"/>
            <w:vAlign w:val="bottom"/>
          </w:tcPr>
          <w:p>
            <w:pPr>
              <w:spacing w:after="0"/>
              <w:rPr>
                <w:sz w:val="1"/>
                <w:szCs w:val="1"/>
                <w:color w:val="auto"/>
              </w:rPr>
            </w:pPr>
          </w:p>
        </w:tc>
      </w:tr>
      <w:tr>
        <w:trPr>
          <w:trHeight w:val="115"/>
        </w:trPr>
        <w:tc>
          <w:tcPr>
            <w:tcW w:w="3380" w:type="dxa"/>
            <w:vAlign w:val="bottom"/>
            <w:gridSpan w:val="3"/>
          </w:tcPr>
          <w:p>
            <w:pPr>
              <w:spacing w:after="0"/>
              <w:rPr>
                <w:sz w:val="20"/>
                <w:szCs w:val="20"/>
                <w:color w:val="auto"/>
              </w:rPr>
            </w:pPr>
            <w:r>
              <w:rPr>
                <w:rFonts w:ascii="Arial" w:cs="Arial" w:eastAsia="Arial" w:hAnsi="Arial"/>
                <w:sz w:val="10"/>
                <w:szCs w:val="10"/>
                <w:color w:val="auto"/>
              </w:rPr>
              <w:t>Commercial:</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Asset-based</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12 %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11 %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10 %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9 %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Venture capital</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8 %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7 %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35"/>
        </w:trPr>
        <w:tc>
          <w:tcPr>
            <w:tcW w:w="3380" w:type="dxa"/>
            <w:vAlign w:val="bottom"/>
            <w:gridSpan w:val="3"/>
          </w:tcPr>
          <w:p>
            <w:pPr>
              <w:ind w:left="80"/>
              <w:spacing w:after="0"/>
              <w:rPr>
                <w:sz w:val="20"/>
                <w:szCs w:val="20"/>
                <w:color w:val="auto"/>
              </w:rPr>
            </w:pPr>
            <w:r>
              <w:rPr>
                <w:rFonts w:ascii="Arial" w:cs="Arial" w:eastAsia="Arial" w:hAnsi="Arial"/>
                <w:sz w:val="10"/>
                <w:szCs w:val="10"/>
                <w:color w:val="auto"/>
              </w:rPr>
              <w:t>Other commercial</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15 %</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14 %</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14 %</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14 %</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13 %</w:t>
            </w:r>
          </w:p>
        </w:tc>
        <w:tc>
          <w:tcPr>
            <w:tcW w:w="0" w:type="dxa"/>
            <w:vAlign w:val="bottom"/>
          </w:tcPr>
          <w:p>
            <w:pPr>
              <w:spacing w:after="0"/>
              <w:rPr>
                <w:sz w:val="1"/>
                <w:szCs w:val="1"/>
                <w:color w:val="auto"/>
              </w:rPr>
            </w:pPr>
          </w:p>
        </w:tc>
      </w:tr>
      <w:tr>
        <w:trPr>
          <w:trHeight w:val="124"/>
        </w:trPr>
        <w:tc>
          <w:tcPr>
            <w:tcW w:w="3380" w:type="dxa"/>
            <w:vAlign w:val="bottom"/>
            <w:gridSpan w:val="3"/>
          </w:tcPr>
          <w:p>
            <w:pPr>
              <w:ind w:left="140"/>
              <w:spacing w:after="0"/>
              <w:rPr>
                <w:sz w:val="20"/>
                <w:szCs w:val="20"/>
                <w:color w:val="auto"/>
              </w:rPr>
            </w:pPr>
            <w:r>
              <w:rPr>
                <w:rFonts w:ascii="Arial" w:cs="Arial" w:eastAsia="Arial" w:hAnsi="Arial"/>
                <w:sz w:val="10"/>
                <w:szCs w:val="10"/>
                <w:color w:val="auto"/>
              </w:rPr>
              <w:t>Total commercial</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36 %</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33 %</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32 %</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30 %</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28 %</w:t>
            </w:r>
          </w:p>
        </w:tc>
        <w:tc>
          <w:tcPr>
            <w:tcW w:w="0" w:type="dxa"/>
            <w:vAlign w:val="bottom"/>
          </w:tcPr>
          <w:p>
            <w:pPr>
              <w:spacing w:after="0"/>
              <w:rPr>
                <w:sz w:val="1"/>
                <w:szCs w:val="1"/>
                <w:color w:val="auto"/>
              </w:rPr>
            </w:pPr>
          </w:p>
        </w:tc>
      </w:tr>
      <w:tr>
        <w:trPr>
          <w:trHeight w:val="124"/>
        </w:trPr>
        <w:tc>
          <w:tcPr>
            <w:tcW w:w="3380" w:type="dxa"/>
            <w:vAlign w:val="bottom"/>
            <w:gridSpan w:val="3"/>
          </w:tcPr>
          <w:p>
            <w:pPr>
              <w:spacing w:after="0"/>
              <w:rPr>
                <w:sz w:val="20"/>
                <w:szCs w:val="20"/>
                <w:color w:val="auto"/>
              </w:rPr>
            </w:pPr>
            <w:r>
              <w:rPr>
                <w:rFonts w:ascii="Arial" w:cs="Arial" w:eastAsia="Arial" w:hAnsi="Arial"/>
                <w:sz w:val="10"/>
                <w:szCs w:val="10"/>
                <w:color w:val="auto"/>
              </w:rPr>
              <w:t>Consumer</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1 %</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2 %</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2 %</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2 %</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15"/>
        </w:trPr>
        <w:tc>
          <w:tcPr>
            <w:tcW w:w="3380" w:type="dxa"/>
            <w:vAlign w:val="bottom"/>
            <w:gridSpan w:val="3"/>
          </w:tcPr>
          <w:p>
            <w:pPr>
              <w:ind w:left="140"/>
              <w:spacing w:after="0"/>
              <w:rPr>
                <w:sz w:val="20"/>
                <w:szCs w:val="20"/>
                <w:color w:val="auto"/>
              </w:rPr>
            </w:pPr>
            <w:r>
              <w:rPr>
                <w:rFonts w:ascii="Arial" w:cs="Arial" w:eastAsia="Arial" w:hAnsi="Arial"/>
                <w:sz w:val="10"/>
                <w:szCs w:val="10"/>
                <w:color w:val="auto"/>
              </w:rPr>
              <w:t>Total loans and leases held for</w:t>
            </w:r>
          </w:p>
        </w:tc>
        <w:tc>
          <w:tcPr>
            <w:tcW w:w="26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0"/>
                <w:szCs w:val="10"/>
                <w:color w:val="auto"/>
              </w:rPr>
              <w:t>100 %</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0"/>
                <w:szCs w:val="10"/>
                <w:color w:val="auto"/>
              </w:rPr>
              <w:t>100 %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0"/>
                <w:szCs w:val="10"/>
                <w:color w:val="auto"/>
              </w:rPr>
              <w:t>100 %</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0"/>
                <w:szCs w:val="10"/>
                <w:color w:val="auto"/>
              </w:rPr>
              <w:t>100 %</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141"/>
        </w:trPr>
        <w:tc>
          <w:tcPr>
            <w:tcW w:w="3380" w:type="dxa"/>
            <w:vAlign w:val="bottom"/>
            <w:gridSpan w:val="3"/>
          </w:tcPr>
          <w:p>
            <w:pPr>
              <w:jc w:val="center"/>
              <w:ind w:right="2500"/>
              <w:spacing w:after="0"/>
              <w:rPr>
                <w:sz w:val="20"/>
                <w:szCs w:val="20"/>
                <w:color w:val="auto"/>
              </w:rPr>
            </w:pPr>
            <w:r>
              <w:rPr>
                <w:rFonts w:ascii="Arial" w:cs="Arial" w:eastAsia="Arial" w:hAnsi="Arial"/>
                <w:sz w:val="10"/>
                <w:szCs w:val="10"/>
                <w:color w:val="auto"/>
                <w:w w:val="99"/>
              </w:rPr>
              <w:t>investment</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462915</wp:posOffset>
            </wp:positionV>
            <wp:extent cx="548640"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9</w:t>
      </w:r>
    </w:p>
    <w:p>
      <w:pPr>
        <w:sectPr>
          <w:pgSz w:w="11900" w:h="16838" w:orient="portrait"/>
          <w:cols w:equalWidth="0" w:num="1">
            <w:col w:w="11260"/>
          </w:cols>
          <w:pgMar w:left="300" w:top="804" w:right="339" w:bottom="1440" w:gutter="0" w:footer="0" w:header="0"/>
        </w:sectPr>
      </w:pPr>
    </w:p>
    <w:bookmarkStart w:id="13" w:name="page14"/>
    <w:bookmarkEnd w:id="13"/>
    <w:p>
      <w:pPr>
        <w:spacing w:after="0" w:line="25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Total loans and leases held for investment increased by $922.0 million in the fourth quarter and totaled $25.0 billion at December 31, 2025. The increase in loans and leases held for investment was due primarily to increased balances in other commercial loans, venture capital loans, asset-based loans, and other residential real estate mortgage loans, offset partially by a decrease in residential real estate construction and land loans. Loan production and disbursements totaled $2.7 billion in the fourth quarter with a weighted average interest rate on production of 6.83%.</w:t>
      </w:r>
    </w:p>
    <w:p>
      <w:pPr>
        <w:spacing w:after="0" w:line="51"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Total loans and leases held for sale decreased by $28.5 million in the fourth quarter and totaled $182.9 million at December 31, 2025. The decrease in loans held for sale was primarily driven by loan payoffs, transfers to foreclosed assets, and the sale of loans that had been transferred to held for sale during the third quarter.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Quality</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131"/>
        </w:trPr>
        <w:tc>
          <w:tcPr>
            <w:tcW w:w="1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11"/>
                <w:szCs w:val="11"/>
                <w:color w:val="auto"/>
              </w:rPr>
            </w:pPr>
          </w:p>
        </w:tc>
        <w:tc>
          <w:tcPr>
            <w:tcW w:w="130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June 30,</w:t>
            </w:r>
          </w:p>
        </w:tc>
        <w:tc>
          <w:tcPr>
            <w:tcW w:w="280" w:type="dxa"/>
            <w:vAlign w:val="bottom"/>
          </w:tcPr>
          <w:p>
            <w:pPr>
              <w:spacing w:after="0"/>
              <w:rPr>
                <w:sz w:val="11"/>
                <w:szCs w:val="11"/>
                <w:color w:val="auto"/>
              </w:rPr>
            </w:pPr>
          </w:p>
        </w:tc>
        <w:tc>
          <w:tcPr>
            <w:tcW w:w="1240" w:type="dxa"/>
            <w:vAlign w:val="bottom"/>
            <w:gridSpan w:val="2"/>
          </w:tcPr>
          <w:p>
            <w:pPr>
              <w:ind w:left="220"/>
              <w:spacing w:after="0"/>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11"/>
                <w:szCs w:val="11"/>
                <w:color w:val="auto"/>
              </w:rPr>
            </w:pPr>
          </w:p>
        </w:tc>
        <w:tc>
          <w:tcPr>
            <w:tcW w:w="1200" w:type="dxa"/>
            <w:vAlign w:val="bottom"/>
          </w:tcPr>
          <w:p>
            <w:pPr>
              <w:jc w:val="right"/>
              <w:ind w:right="372"/>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0"/>
        </w:trPr>
        <w:tc>
          <w:tcPr>
            <w:tcW w:w="362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Asset Quality Information and Ratios</w:t>
            </w:r>
          </w:p>
        </w:tc>
        <w:tc>
          <w:tcPr>
            <w:tcW w:w="220" w:type="dxa"/>
            <w:vAlign w:val="bottom"/>
          </w:tcPr>
          <w:p>
            <w:pPr>
              <w:spacing w:after="0"/>
              <w:rPr>
                <w:sz w:val="9"/>
                <w:szCs w:val="9"/>
                <w:color w:val="auto"/>
              </w:rPr>
            </w:pPr>
          </w:p>
        </w:tc>
        <w:tc>
          <w:tcPr>
            <w:tcW w:w="1220" w:type="dxa"/>
            <w:vAlign w:val="bottom"/>
          </w:tcPr>
          <w:p>
            <w:pPr>
              <w:jc w:val="right"/>
              <w:ind w:right="572"/>
              <w:spacing w:after="0" w:line="110"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jc w:val="right"/>
              <w:ind w:right="572"/>
              <w:spacing w:after="0" w:line="110"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jc w:val="center"/>
              <w:ind w:right="112"/>
              <w:spacing w:after="0" w:line="110" w:lineRule="exact"/>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jc w:val="right"/>
              <w:ind w:right="572"/>
              <w:spacing w:after="0" w:line="110"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jc w:val="right"/>
              <w:ind w:right="572"/>
              <w:spacing w:after="0" w:line="110" w:lineRule="exact"/>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20"/>
        </w:trPr>
        <w:tc>
          <w:tcPr>
            <w:tcW w:w="170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7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i w:val="1"/>
                <w:iCs w:val="1"/>
                <w:color w:val="auto"/>
                <w:w w:val="96"/>
              </w:rPr>
              <w:t>(Dollars in thousands)</w:t>
            </w: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20"/>
              <w:spacing w:after="0"/>
              <w:rPr>
                <w:sz w:val="20"/>
                <w:szCs w:val="20"/>
                <w:color w:val="auto"/>
              </w:rPr>
            </w:pPr>
            <w:r>
              <w:rPr>
                <w:rFonts w:ascii="Arial" w:cs="Arial" w:eastAsia="Arial" w:hAnsi="Arial"/>
                <w:sz w:val="10"/>
                <w:szCs w:val="10"/>
                <w:b w:val="1"/>
                <w:bCs w:val="1"/>
                <w:color w:val="auto"/>
              </w:rPr>
              <w:t>Delinquent loans and leases held for</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00"/>
              <w:spacing w:after="0"/>
              <w:rPr>
                <w:sz w:val="20"/>
                <w:szCs w:val="20"/>
                <w:color w:val="auto"/>
              </w:rPr>
            </w:pPr>
            <w:r>
              <w:rPr>
                <w:rFonts w:ascii="Arial" w:cs="Arial" w:eastAsia="Arial" w:hAnsi="Arial"/>
                <w:sz w:val="10"/>
                <w:szCs w:val="10"/>
                <w:b w:val="1"/>
                <w:bCs w:val="1"/>
                <w:color w:val="auto"/>
              </w:rPr>
              <w:t>investment:</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20" w:type="dxa"/>
            <w:vAlign w:val="bottom"/>
            <w:gridSpan w:val="2"/>
          </w:tcPr>
          <w:p>
            <w:pPr>
              <w:ind w:left="140"/>
              <w:spacing w:after="0"/>
              <w:rPr>
                <w:sz w:val="20"/>
                <w:szCs w:val="20"/>
                <w:color w:val="auto"/>
              </w:rPr>
            </w:pPr>
            <w:r>
              <w:rPr>
                <w:rFonts w:ascii="Arial" w:cs="Arial" w:eastAsia="Arial" w:hAnsi="Arial"/>
                <w:sz w:val="10"/>
                <w:szCs w:val="10"/>
                <w:color w:val="auto"/>
              </w:rPr>
              <w:t>30 to 89 days delinquent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108,303</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56,416</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53,900</w:t>
            </w:r>
          </w:p>
        </w:tc>
        <w:tc>
          <w:tcPr>
            <w:tcW w:w="8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92"/>
              <w:spacing w:after="0"/>
              <w:rPr>
                <w:sz w:val="20"/>
                <w:szCs w:val="20"/>
                <w:color w:val="auto"/>
              </w:rPr>
            </w:pPr>
            <w:r>
              <w:rPr>
                <w:rFonts w:ascii="Arial" w:cs="Arial" w:eastAsia="Arial" w:hAnsi="Arial"/>
                <w:sz w:val="10"/>
                <w:szCs w:val="10"/>
                <w:color w:val="auto"/>
              </w:rPr>
              <w:t>100,664</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91,347</w:t>
            </w:r>
          </w:p>
        </w:tc>
        <w:tc>
          <w:tcPr>
            <w:tcW w:w="0" w:type="dxa"/>
            <w:vAlign w:val="bottom"/>
          </w:tcPr>
          <w:p>
            <w:pPr>
              <w:spacing w:after="0"/>
              <w:rPr>
                <w:sz w:val="1"/>
                <w:szCs w:val="1"/>
                <w:color w:val="auto"/>
              </w:rPr>
            </w:pPr>
          </w:p>
        </w:tc>
      </w:tr>
      <w:tr>
        <w:trPr>
          <w:trHeight w:val="138"/>
        </w:trPr>
        <w:tc>
          <w:tcPr>
            <w:tcW w:w="3620" w:type="dxa"/>
            <w:vAlign w:val="bottom"/>
            <w:gridSpan w:val="2"/>
          </w:tcPr>
          <w:p>
            <w:pPr>
              <w:ind w:left="140"/>
              <w:spacing w:after="0"/>
              <w:rPr>
                <w:sz w:val="20"/>
                <w:szCs w:val="20"/>
                <w:color w:val="auto"/>
              </w:rPr>
            </w:pPr>
            <w:r>
              <w:rPr>
                <w:rFonts w:ascii="Arial" w:cs="Arial" w:eastAsia="Arial" w:hAnsi="Arial"/>
                <w:sz w:val="10"/>
                <w:szCs w:val="10"/>
                <w:color w:val="auto"/>
              </w:rPr>
              <w:t>90+ days delinquent</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92,655</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104,952</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95,566</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99,976</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88,846</w:t>
            </w:r>
          </w:p>
        </w:tc>
        <w:tc>
          <w:tcPr>
            <w:tcW w:w="0" w:type="dxa"/>
            <w:vAlign w:val="bottom"/>
          </w:tcPr>
          <w:p>
            <w:pPr>
              <w:spacing w:after="0"/>
              <w:rPr>
                <w:sz w:val="1"/>
                <w:szCs w:val="1"/>
                <w:color w:val="auto"/>
              </w:rPr>
            </w:pPr>
          </w:p>
        </w:tc>
      </w:tr>
      <w:tr>
        <w:trPr>
          <w:trHeight w:val="127"/>
        </w:trPr>
        <w:tc>
          <w:tcPr>
            <w:tcW w:w="3620" w:type="dxa"/>
            <w:vAlign w:val="bottom"/>
            <w:gridSpan w:val="2"/>
          </w:tcPr>
          <w:p>
            <w:pPr>
              <w:ind w:left="220"/>
              <w:spacing w:after="0"/>
              <w:rPr>
                <w:sz w:val="20"/>
                <w:szCs w:val="20"/>
                <w:color w:val="auto"/>
              </w:rPr>
            </w:pPr>
            <w:r>
              <w:rPr>
                <w:rFonts w:ascii="Arial" w:cs="Arial" w:eastAsia="Arial" w:hAnsi="Arial"/>
                <w:sz w:val="10"/>
                <w:szCs w:val="10"/>
                <w:color w:val="auto"/>
              </w:rPr>
              <w:t>Total delinquent loans and leases</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200,958</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161,368</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149,466</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200,640</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180,193</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ind w:left="120"/>
              <w:spacing w:after="0"/>
              <w:rPr>
                <w:sz w:val="20"/>
                <w:szCs w:val="20"/>
                <w:color w:val="auto"/>
              </w:rPr>
            </w:pPr>
            <w:r>
              <w:rPr>
                <w:rFonts w:ascii="Arial" w:cs="Arial" w:eastAsia="Arial" w:hAnsi="Arial"/>
                <w:sz w:val="10"/>
                <w:szCs w:val="10"/>
                <w:color w:val="auto"/>
              </w:rPr>
              <w:t>Total delinquent loans and leases to</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6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80"/>
              <w:spacing w:after="0"/>
              <w:rPr>
                <w:sz w:val="20"/>
                <w:szCs w:val="20"/>
                <w:color w:val="auto"/>
              </w:rPr>
            </w:pPr>
            <w:r>
              <w:rPr>
                <w:rFonts w:ascii="Arial" w:cs="Arial" w:eastAsia="Arial" w:hAnsi="Arial"/>
                <w:sz w:val="10"/>
                <w:szCs w:val="10"/>
                <w:color w:val="auto"/>
              </w:rPr>
              <w:t>loans and leases held for investment</w:t>
            </w:r>
          </w:p>
        </w:tc>
        <w:tc>
          <w:tcPr>
            <w:tcW w:w="2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0.80 %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0.67 %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0.62 %</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0.83 %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0.76 %</w:t>
            </w:r>
          </w:p>
        </w:tc>
        <w:tc>
          <w:tcPr>
            <w:tcW w:w="0" w:type="dxa"/>
            <w:vAlign w:val="bottom"/>
          </w:tcPr>
          <w:p>
            <w:pPr>
              <w:spacing w:after="0"/>
              <w:rPr>
                <w:sz w:val="1"/>
                <w:szCs w:val="1"/>
                <w:color w:val="auto"/>
              </w:rPr>
            </w:pPr>
          </w:p>
        </w:tc>
      </w:tr>
      <w:tr>
        <w:trPr>
          <w:trHeight w:val="283"/>
        </w:trPr>
        <w:tc>
          <w:tcPr>
            <w:tcW w:w="3620" w:type="dxa"/>
            <w:vAlign w:val="bottom"/>
            <w:gridSpan w:val="2"/>
          </w:tcPr>
          <w:p>
            <w:pPr>
              <w:spacing w:after="0"/>
              <w:rPr>
                <w:sz w:val="20"/>
                <w:szCs w:val="20"/>
                <w:color w:val="auto"/>
              </w:rPr>
            </w:pPr>
            <w:r>
              <w:rPr>
                <w:rFonts w:ascii="Arial" w:cs="Arial" w:eastAsia="Arial" w:hAnsi="Arial"/>
                <w:sz w:val="10"/>
                <w:szCs w:val="10"/>
                <w:b w:val="1"/>
                <w:bCs w:val="1"/>
                <w:color w:val="auto"/>
              </w:rPr>
              <w:t>Nonperforming assets, excluding loans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80"/>
              <w:spacing w:after="0"/>
              <w:rPr>
                <w:sz w:val="20"/>
                <w:szCs w:val="20"/>
                <w:color w:val="auto"/>
              </w:rPr>
            </w:pPr>
            <w:r>
              <w:rPr>
                <w:rFonts w:ascii="Arial" w:cs="Arial" w:eastAsia="Arial" w:hAnsi="Arial"/>
                <w:sz w:val="10"/>
                <w:szCs w:val="10"/>
                <w:b w:val="1"/>
                <w:bCs w:val="1"/>
                <w:color w:val="auto"/>
              </w:rPr>
              <w:t>held for sale:</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20" w:type="dxa"/>
            <w:vAlign w:val="bottom"/>
            <w:gridSpan w:val="2"/>
          </w:tcPr>
          <w:p>
            <w:pPr>
              <w:ind w:left="140"/>
              <w:spacing w:after="0"/>
              <w:rPr>
                <w:sz w:val="20"/>
                <w:szCs w:val="20"/>
                <w:color w:val="auto"/>
              </w:rPr>
            </w:pPr>
            <w:r>
              <w:rPr>
                <w:rFonts w:ascii="Arial" w:cs="Arial" w:eastAsia="Arial" w:hAnsi="Arial"/>
                <w:sz w:val="10"/>
                <w:szCs w:val="10"/>
                <w:color w:val="auto"/>
              </w:rPr>
              <w:t>Nonaccrual loans and leases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159,168</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174,541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167,516</w:t>
            </w:r>
          </w:p>
        </w:tc>
        <w:tc>
          <w:tcPr>
            <w:tcW w:w="8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92"/>
              <w:spacing w:after="0"/>
              <w:rPr>
                <w:sz w:val="20"/>
                <w:szCs w:val="20"/>
                <w:color w:val="auto"/>
              </w:rPr>
            </w:pPr>
            <w:r>
              <w:rPr>
                <w:rFonts w:ascii="Arial" w:cs="Arial" w:eastAsia="Arial" w:hAnsi="Arial"/>
                <w:sz w:val="10"/>
                <w:szCs w:val="10"/>
                <w:color w:val="auto"/>
              </w:rPr>
              <w:t>213,480</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189,605</w:t>
            </w:r>
          </w:p>
        </w:tc>
        <w:tc>
          <w:tcPr>
            <w:tcW w:w="0" w:type="dxa"/>
            <w:vAlign w:val="bottom"/>
          </w:tcPr>
          <w:p>
            <w:pPr>
              <w:spacing w:after="0"/>
              <w:rPr>
                <w:sz w:val="1"/>
                <w:szCs w:val="1"/>
                <w:color w:val="auto"/>
              </w:rPr>
            </w:pPr>
          </w:p>
        </w:tc>
      </w:tr>
      <w:tr>
        <w:trPr>
          <w:trHeight w:val="135"/>
        </w:trPr>
        <w:tc>
          <w:tcPr>
            <w:tcW w:w="3620" w:type="dxa"/>
            <w:vAlign w:val="bottom"/>
            <w:gridSpan w:val="2"/>
          </w:tcPr>
          <w:p>
            <w:pPr>
              <w:ind w:left="140"/>
              <w:spacing w:after="0"/>
              <w:rPr>
                <w:sz w:val="20"/>
                <w:szCs w:val="20"/>
                <w:color w:val="auto"/>
              </w:rPr>
            </w:pPr>
            <w:r>
              <w:rPr>
                <w:rFonts w:ascii="Arial" w:cs="Arial" w:eastAsia="Arial" w:hAnsi="Arial"/>
                <w:sz w:val="10"/>
                <w:szCs w:val="10"/>
                <w:color w:val="auto"/>
              </w:rPr>
              <w:t>90+ days delinquent loans and still</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220"/>
              <w:spacing w:after="0"/>
              <w:rPr>
                <w:sz w:val="20"/>
                <w:szCs w:val="20"/>
                <w:color w:val="auto"/>
              </w:rPr>
            </w:pPr>
            <w:r>
              <w:rPr>
                <w:rFonts w:ascii="Arial" w:cs="Arial" w:eastAsia="Arial" w:hAnsi="Arial"/>
                <w:sz w:val="10"/>
                <w:szCs w:val="10"/>
                <w:color w:val="auto"/>
              </w:rPr>
              <w:t>accruing</w:t>
            </w:r>
          </w:p>
        </w:tc>
        <w:tc>
          <w:tcPr>
            <w:tcW w:w="220" w:type="dxa"/>
            <w:vAlign w:val="bottom"/>
          </w:tcPr>
          <w:p>
            <w:pPr>
              <w:spacing w:after="0"/>
              <w:rPr>
                <w:sz w:val="11"/>
                <w:szCs w:val="1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620" w:type="dxa"/>
            <w:vAlign w:val="bottom"/>
            <w:gridSpan w:val="2"/>
          </w:tcPr>
          <w:p>
            <w:pPr>
              <w:ind w:left="280"/>
              <w:spacing w:after="0"/>
              <w:rPr>
                <w:sz w:val="20"/>
                <w:szCs w:val="20"/>
                <w:color w:val="auto"/>
              </w:rPr>
            </w:pPr>
            <w:r>
              <w:rPr>
                <w:rFonts w:ascii="Arial" w:cs="Arial" w:eastAsia="Arial" w:hAnsi="Arial"/>
                <w:sz w:val="10"/>
                <w:szCs w:val="10"/>
                <w:color w:val="auto"/>
              </w:rPr>
              <w:t>Total nonperforming loans and</w:t>
            </w: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360"/>
              <w:spacing w:after="0"/>
              <w:rPr>
                <w:sz w:val="20"/>
                <w:szCs w:val="20"/>
                <w:color w:val="auto"/>
              </w:rPr>
            </w:pPr>
            <w:r>
              <w:rPr>
                <w:rFonts w:ascii="Arial" w:cs="Arial" w:eastAsia="Arial" w:hAnsi="Arial"/>
                <w:sz w:val="10"/>
                <w:szCs w:val="10"/>
                <w:color w:val="auto"/>
              </w:rPr>
              <w:t>leases ("NPLs")</w:t>
            </w:r>
          </w:p>
        </w:tc>
        <w:tc>
          <w:tcPr>
            <w:tcW w:w="220" w:type="dxa"/>
            <w:vAlign w:val="bottom"/>
          </w:tcPr>
          <w:p>
            <w:pPr>
              <w:spacing w:after="0"/>
              <w:rPr>
                <w:sz w:val="11"/>
                <w:szCs w:val="11"/>
                <w:color w:val="auto"/>
              </w:rPr>
            </w:pP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159,168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174,541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167,516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92"/>
              <w:spacing w:after="0"/>
              <w:rPr>
                <w:sz w:val="20"/>
                <w:szCs w:val="20"/>
                <w:color w:val="auto"/>
              </w:rPr>
            </w:pPr>
            <w:r>
              <w:rPr>
                <w:rFonts w:ascii="Arial" w:cs="Arial" w:eastAsia="Arial" w:hAnsi="Arial"/>
                <w:sz w:val="10"/>
                <w:szCs w:val="10"/>
                <w:color w:val="auto"/>
              </w:rPr>
              <w:t>213,480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189,605</w:t>
            </w:r>
          </w:p>
        </w:tc>
        <w:tc>
          <w:tcPr>
            <w:tcW w:w="0" w:type="dxa"/>
            <w:vAlign w:val="bottom"/>
          </w:tcPr>
          <w:p>
            <w:pPr>
              <w:spacing w:after="0"/>
              <w:rPr>
                <w:sz w:val="1"/>
                <w:szCs w:val="1"/>
                <w:color w:val="auto"/>
              </w:rPr>
            </w:pPr>
          </w:p>
        </w:tc>
      </w:tr>
      <w:tr>
        <w:trPr>
          <w:trHeight w:val="138"/>
        </w:trPr>
        <w:tc>
          <w:tcPr>
            <w:tcW w:w="3620" w:type="dxa"/>
            <w:vAlign w:val="bottom"/>
            <w:gridSpan w:val="2"/>
          </w:tcPr>
          <w:p>
            <w:pPr>
              <w:ind w:left="140"/>
              <w:spacing w:after="0"/>
              <w:rPr>
                <w:sz w:val="20"/>
                <w:szCs w:val="20"/>
                <w:color w:val="auto"/>
              </w:rPr>
            </w:pPr>
            <w:r>
              <w:rPr>
                <w:rFonts w:ascii="Arial" w:cs="Arial" w:eastAsia="Arial" w:hAnsi="Arial"/>
                <w:sz w:val="10"/>
                <w:szCs w:val="10"/>
                <w:color w:val="auto"/>
              </w:rPr>
              <w:t>Foreclosed assets, net</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17,115</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4,790</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7,806</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5,474</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9,734</w:t>
            </w:r>
          </w:p>
        </w:tc>
        <w:tc>
          <w:tcPr>
            <w:tcW w:w="0" w:type="dxa"/>
            <w:vAlign w:val="bottom"/>
          </w:tcPr>
          <w:p>
            <w:pPr>
              <w:spacing w:after="0"/>
              <w:rPr>
                <w:sz w:val="1"/>
                <w:szCs w:val="1"/>
                <w:color w:val="auto"/>
              </w:rPr>
            </w:pPr>
          </w:p>
        </w:tc>
      </w:tr>
      <w:tr>
        <w:trPr>
          <w:trHeight w:val="127"/>
        </w:trPr>
        <w:tc>
          <w:tcPr>
            <w:tcW w:w="3620" w:type="dxa"/>
            <w:vAlign w:val="bottom"/>
            <w:gridSpan w:val="2"/>
          </w:tcPr>
          <w:p>
            <w:pPr>
              <w:ind w:left="220"/>
              <w:spacing w:after="0"/>
              <w:rPr>
                <w:sz w:val="20"/>
                <w:szCs w:val="20"/>
                <w:color w:val="auto"/>
              </w:rPr>
            </w:pPr>
            <w:r>
              <w:rPr>
                <w:rFonts w:ascii="Arial" w:cs="Arial" w:eastAsia="Arial" w:hAnsi="Arial"/>
                <w:sz w:val="10"/>
                <w:szCs w:val="10"/>
                <w:color w:val="auto"/>
              </w:rPr>
              <w:t>Total nonperforming assets ("NPAs")</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176,283</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179,331</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175,322</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218,954</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199,339</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0"/>
                <w:szCs w:val="10"/>
                <w:color w:val="auto"/>
              </w:rPr>
              <w:t>Classified loans and leases held for</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6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60"/>
              <w:spacing w:after="0"/>
              <w:rPr>
                <w:sz w:val="20"/>
                <w:szCs w:val="20"/>
                <w:color w:val="auto"/>
              </w:rPr>
            </w:pPr>
            <w:r>
              <w:rPr>
                <w:rFonts w:ascii="Arial" w:cs="Arial" w:eastAsia="Arial" w:hAnsi="Arial"/>
                <w:sz w:val="10"/>
                <w:szCs w:val="10"/>
                <w:color w:val="auto"/>
              </w:rPr>
              <w:t>investment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800,330</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92"/>
              <w:spacing w:after="0"/>
              <w:rPr>
                <w:sz w:val="20"/>
                <w:szCs w:val="20"/>
                <w:color w:val="auto"/>
              </w:rPr>
            </w:pPr>
            <w:r>
              <w:rPr>
                <w:rFonts w:ascii="Arial" w:cs="Arial" w:eastAsia="Arial" w:hAnsi="Arial"/>
                <w:sz w:val="10"/>
                <w:szCs w:val="10"/>
                <w:color w:val="auto"/>
              </w:rPr>
              <w:t>763,582</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92"/>
              <w:spacing w:after="0"/>
              <w:rPr>
                <w:sz w:val="20"/>
                <w:szCs w:val="20"/>
                <w:color w:val="auto"/>
              </w:rPr>
            </w:pPr>
            <w:r>
              <w:rPr>
                <w:rFonts w:ascii="Arial" w:cs="Arial" w:eastAsia="Arial" w:hAnsi="Arial"/>
                <w:sz w:val="10"/>
                <w:szCs w:val="10"/>
                <w:color w:val="auto"/>
              </w:rPr>
              <w:t>656,556</w:t>
            </w:r>
          </w:p>
        </w:tc>
        <w:tc>
          <w:tcPr>
            <w:tcW w:w="8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92"/>
              <w:spacing w:after="0"/>
              <w:rPr>
                <w:sz w:val="20"/>
                <w:szCs w:val="20"/>
                <w:color w:val="auto"/>
              </w:rPr>
            </w:pPr>
            <w:r>
              <w:rPr>
                <w:rFonts w:ascii="Arial" w:cs="Arial" w:eastAsia="Arial" w:hAnsi="Arial"/>
                <w:sz w:val="10"/>
                <w:szCs w:val="10"/>
                <w:color w:val="auto"/>
              </w:rPr>
              <w:t>764,723</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92"/>
              <w:spacing w:after="0"/>
              <w:rPr>
                <w:sz w:val="20"/>
                <w:szCs w:val="20"/>
                <w:color w:val="auto"/>
              </w:rPr>
            </w:pPr>
            <w:r>
              <w:rPr>
                <w:rFonts w:ascii="Arial" w:cs="Arial" w:eastAsia="Arial" w:hAnsi="Arial"/>
                <w:sz w:val="10"/>
                <w:szCs w:val="10"/>
                <w:color w:val="auto"/>
              </w:rPr>
              <w:t>563,502</w:t>
            </w:r>
          </w:p>
        </w:tc>
        <w:tc>
          <w:tcPr>
            <w:tcW w:w="0" w:type="dxa"/>
            <w:vAlign w:val="bottom"/>
          </w:tcPr>
          <w:p>
            <w:pPr>
              <w:spacing w:after="0"/>
              <w:rPr>
                <w:sz w:val="1"/>
                <w:szCs w:val="1"/>
                <w:color w:val="auto"/>
              </w:rPr>
            </w:pPr>
          </w:p>
        </w:tc>
      </w:tr>
      <w:tr>
        <w:trPr>
          <w:trHeight w:val="135"/>
        </w:trPr>
        <w:tc>
          <w:tcPr>
            <w:tcW w:w="3620" w:type="dxa"/>
            <w:vAlign w:val="bottom"/>
            <w:gridSpan w:val="2"/>
          </w:tcPr>
          <w:p>
            <w:pPr>
              <w:spacing w:after="0"/>
              <w:rPr>
                <w:sz w:val="20"/>
                <w:szCs w:val="20"/>
                <w:color w:val="auto"/>
              </w:rPr>
            </w:pPr>
            <w:r>
              <w:rPr>
                <w:rFonts w:ascii="Arial" w:cs="Arial" w:eastAsia="Arial" w:hAnsi="Arial"/>
                <w:sz w:val="10"/>
                <w:szCs w:val="10"/>
                <w:color w:val="auto"/>
              </w:rPr>
              <w:t>Special mention loans and leases held for</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tcPr>
          <w:p>
            <w:pPr>
              <w:ind w:left="160"/>
              <w:spacing w:after="0"/>
              <w:rPr>
                <w:sz w:val="20"/>
                <w:szCs w:val="20"/>
                <w:color w:val="auto"/>
              </w:rPr>
            </w:pPr>
            <w:r>
              <w:rPr>
                <w:rFonts w:ascii="Arial" w:cs="Arial" w:eastAsia="Arial" w:hAnsi="Arial"/>
                <w:sz w:val="10"/>
                <w:szCs w:val="10"/>
                <w:color w:val="auto"/>
              </w:rPr>
              <w:t>investment</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458,683</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505,979</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661,568</w:t>
            </w: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937,014</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1,097,315</w:t>
            </w:r>
          </w:p>
        </w:tc>
        <w:tc>
          <w:tcPr>
            <w:tcW w:w="0" w:type="dxa"/>
            <w:vAlign w:val="bottom"/>
          </w:tcPr>
          <w:p>
            <w:pPr>
              <w:spacing w:after="0"/>
              <w:rPr>
                <w:sz w:val="1"/>
                <w:szCs w:val="1"/>
                <w:color w:val="auto"/>
              </w:rPr>
            </w:pPr>
          </w:p>
        </w:tc>
      </w:tr>
      <w:tr>
        <w:trPr>
          <w:trHeight w:val="115"/>
        </w:trPr>
        <w:tc>
          <w:tcPr>
            <w:tcW w:w="3620" w:type="dxa"/>
            <w:vAlign w:val="bottom"/>
            <w:gridSpan w:val="2"/>
          </w:tcPr>
          <w:p>
            <w:pPr>
              <w:spacing w:after="0"/>
              <w:rPr>
                <w:sz w:val="20"/>
                <w:szCs w:val="20"/>
                <w:color w:val="auto"/>
              </w:rPr>
            </w:pPr>
            <w:r>
              <w:rPr>
                <w:rFonts w:ascii="Arial" w:cs="Arial" w:eastAsia="Arial" w:hAnsi="Arial"/>
                <w:sz w:val="10"/>
                <w:szCs w:val="10"/>
                <w:color w:val="auto"/>
              </w:rPr>
              <w:t>Criticized loans and leases held for</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38" w:orient="portrait"/>
          <w:cols w:equalWidth="0" w:num="1">
            <w:col w:w="11280"/>
          </w:cols>
          <w:pgMar w:left="300" w:top="793" w:right="319" w:bottom="1440" w:gutter="0" w:footer="0" w:header="0"/>
        </w:sectPr>
      </w:pPr>
    </w:p>
    <w:p>
      <w:pPr>
        <w:spacing w:after="0" w:line="18" w:lineRule="exact"/>
        <w:rPr>
          <w:sz w:val="20"/>
          <w:szCs w:val="20"/>
          <w:color w:val="auto"/>
        </w:rPr>
      </w:pPr>
    </w:p>
    <w:p>
      <w:pPr>
        <w:ind w:left="240"/>
        <w:spacing w:after="0"/>
        <w:rPr>
          <w:sz w:val="20"/>
          <w:szCs w:val="20"/>
          <w:color w:val="auto"/>
        </w:rPr>
      </w:pPr>
      <w:r>
        <w:rPr>
          <w:rFonts w:ascii="Arial" w:cs="Arial" w:eastAsia="Arial" w:hAnsi="Arial"/>
          <w:sz w:val="10"/>
          <w:szCs w:val="10"/>
          <w:color w:val="auto"/>
        </w:rPr>
        <w:t>investment</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0"/>
          <w:szCs w:val="10"/>
          <w:color w:val="auto"/>
        </w:rPr>
        <w:t>Allowance for loan and lease losses</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0"/>
          <w:szCs w:val="10"/>
          <w:color w:val="auto"/>
        </w:rPr>
        <w:t>Allowance for loan and lease losses</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0"/>
          <w:szCs w:val="10"/>
          <w:color w:val="auto"/>
        </w:rPr>
        <w:t>to NPLs</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0"/>
          <w:szCs w:val="10"/>
          <w:color w:val="auto"/>
        </w:rPr>
        <w:t>NPLs to loans and leases held for</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0"/>
          <w:szCs w:val="10"/>
          <w:color w:val="auto"/>
        </w:rPr>
        <w:t>investment</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0"/>
          <w:szCs w:val="10"/>
          <w:color w:val="auto"/>
        </w:rPr>
        <w:t>NPAs to total assets</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0"/>
          <w:szCs w:val="10"/>
          <w:color w:val="auto"/>
        </w:rPr>
        <w:t>Classified loans and leases to loans</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0"/>
          <w:szCs w:val="10"/>
          <w:color w:val="auto"/>
        </w:rPr>
        <w:t>and leases held for investment</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8"/>
          <w:szCs w:val="8"/>
          <w:color w:val="auto"/>
        </w:rPr>
        <w:t>Special mention loans and leases to loans</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0"/>
          <w:szCs w:val="10"/>
          <w:color w:val="auto"/>
        </w:rPr>
        <w:t>and leases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707390</wp:posOffset>
            </wp:positionV>
            <wp:extent cx="548640"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1,259,013</w:t>
            </w: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1,269,561</w:t>
            </w: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1,318,124</w:t>
            </w:r>
          </w:p>
        </w:tc>
        <w:tc>
          <w:tcPr>
            <w:tcW w:w="80" w:type="dxa"/>
            <w:vAlign w:val="bottom"/>
          </w:tcPr>
          <w:p>
            <w:pPr>
              <w:spacing w:after="0"/>
              <w:rPr>
                <w:sz w:val="11"/>
                <w:szCs w:val="11"/>
                <w:color w:val="auto"/>
              </w:rPr>
            </w:pP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1,701,737</w:t>
            </w:r>
          </w:p>
        </w:tc>
        <w:tc>
          <w:tcPr>
            <w:tcW w:w="80" w:type="dxa"/>
            <w:vAlign w:val="bottom"/>
          </w:tcPr>
          <w:p>
            <w:pPr>
              <w:spacing w:after="0"/>
              <w:rPr>
                <w:sz w:val="11"/>
                <w:szCs w:val="11"/>
                <w:color w:val="auto"/>
              </w:rPr>
            </w:pP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1,660,817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4"/>
        </w:trPr>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92"/>
              <w:spacing w:after="0"/>
              <w:rPr>
                <w:sz w:val="20"/>
                <w:szCs w:val="20"/>
                <w:color w:val="auto"/>
              </w:rPr>
            </w:pPr>
            <w:r>
              <w:rPr>
                <w:rFonts w:ascii="Arial" w:cs="Arial" w:eastAsia="Arial" w:hAnsi="Arial"/>
                <w:sz w:val="10"/>
                <w:szCs w:val="10"/>
                <w:color w:val="auto"/>
              </w:rPr>
              <w:t>245,612</w:t>
            </w:r>
          </w:p>
        </w:tc>
        <w:tc>
          <w:tcPr>
            <w:tcW w:w="80" w:type="dxa"/>
            <w:vAlign w:val="bottom"/>
          </w:tcPr>
          <w:p>
            <w:pPr>
              <w:spacing w:after="0"/>
              <w:rPr>
                <w:sz w:val="20"/>
                <w:szCs w:val="20"/>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92"/>
              <w:spacing w:after="0"/>
              <w:rPr>
                <w:sz w:val="20"/>
                <w:szCs w:val="20"/>
                <w:color w:val="auto"/>
              </w:rPr>
            </w:pPr>
            <w:r>
              <w:rPr>
                <w:rFonts w:ascii="Arial" w:cs="Arial" w:eastAsia="Arial" w:hAnsi="Arial"/>
                <w:sz w:val="10"/>
                <w:szCs w:val="10"/>
                <w:color w:val="auto"/>
              </w:rPr>
              <w:t>240,501</w:t>
            </w:r>
          </w:p>
        </w:tc>
        <w:tc>
          <w:tcPr>
            <w:tcW w:w="80" w:type="dxa"/>
            <w:vAlign w:val="bottom"/>
          </w:tcPr>
          <w:p>
            <w:pPr>
              <w:spacing w:after="0"/>
              <w:rPr>
                <w:sz w:val="20"/>
                <w:szCs w:val="20"/>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92"/>
              <w:spacing w:after="0"/>
              <w:rPr>
                <w:sz w:val="20"/>
                <w:szCs w:val="20"/>
                <w:color w:val="auto"/>
              </w:rPr>
            </w:pPr>
            <w:r>
              <w:rPr>
                <w:rFonts w:ascii="Arial" w:cs="Arial" w:eastAsia="Arial" w:hAnsi="Arial"/>
                <w:sz w:val="10"/>
                <w:szCs w:val="10"/>
                <w:color w:val="auto"/>
              </w:rPr>
              <w:t>229,344</w:t>
            </w:r>
          </w:p>
        </w:tc>
        <w:tc>
          <w:tcPr>
            <w:tcW w:w="80" w:type="dxa"/>
            <w:vAlign w:val="bottom"/>
          </w:tcPr>
          <w:p>
            <w:pPr>
              <w:spacing w:after="0"/>
              <w:rPr>
                <w:sz w:val="20"/>
                <w:szCs w:val="20"/>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234,986</w:t>
            </w:r>
          </w:p>
        </w:tc>
        <w:tc>
          <w:tcPr>
            <w:tcW w:w="80" w:type="dxa"/>
            <w:vAlign w:val="bottom"/>
          </w:tcPr>
          <w:p>
            <w:pPr>
              <w:spacing w:after="0"/>
              <w:rPr>
                <w:sz w:val="20"/>
                <w:szCs w:val="20"/>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239,360</w:t>
            </w:r>
          </w:p>
        </w:tc>
      </w:tr>
      <w:tr>
        <w:trPr>
          <w:trHeight w:val="270"/>
        </w:trPr>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154.31 %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137.79 %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136.91 %</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110.07 %</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126.24 %</w:t>
            </w:r>
          </w:p>
        </w:tc>
      </w:tr>
      <w:tr>
        <w:trPr>
          <w:trHeight w:val="270"/>
        </w:trPr>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0.64 %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0.72 %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0.69 %</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0.88 %</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0.80 %</w:t>
            </w:r>
          </w:p>
        </w:tc>
      </w:tr>
      <w:tr>
        <w:trPr>
          <w:trHeight w:val="135"/>
        </w:trPr>
        <w:tc>
          <w:tcPr>
            <w:tcW w:w="4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0.51 %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0.53 %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0.51 %</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0.65 %</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0.59 %</w:t>
            </w:r>
          </w:p>
        </w:tc>
      </w:tr>
      <w:tr>
        <w:trPr>
          <w:trHeight w:val="270"/>
        </w:trPr>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3.20 %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3.17 %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2.71 %</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3.17 %</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2.37 %</w:t>
            </w:r>
          </w:p>
        </w:tc>
      </w:tr>
      <w:tr>
        <w:trPr>
          <w:trHeight w:val="270"/>
        </w:trPr>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1.83 %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2.10 %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2.73 %</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3.88 %</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4.61 %</w:t>
            </w:r>
          </w:p>
        </w:tc>
      </w:tr>
    </w:tbl>
    <w:p>
      <w:pPr>
        <w:spacing w:after="0" w:line="200" w:lineRule="exact"/>
        <w:rPr>
          <w:sz w:val="20"/>
          <w:szCs w:val="20"/>
          <w:color w:val="auto"/>
        </w:rPr>
      </w:pPr>
    </w:p>
    <w:p>
      <w:pPr>
        <w:sectPr>
          <w:pgSz w:w="11900" w:h="16838" w:orient="portrait"/>
          <w:cols w:equalWidth="0" w:num="2">
            <w:col w:w="2980" w:space="720"/>
            <w:col w:w="7580"/>
          </w:cols>
          <w:pgMar w:left="300" w:top="79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160"/>
        <w:spacing w:after="0"/>
        <w:rPr>
          <w:sz w:val="20"/>
          <w:szCs w:val="20"/>
          <w:color w:val="auto"/>
        </w:rPr>
      </w:pPr>
      <w:r>
        <w:rPr>
          <w:rFonts w:ascii="Arial" w:cs="Arial" w:eastAsia="Arial" w:hAnsi="Arial"/>
          <w:sz w:val="8"/>
          <w:szCs w:val="8"/>
          <w:color w:val="001B2C"/>
        </w:rPr>
        <w:t>10</w:t>
      </w:r>
    </w:p>
    <w:p>
      <w:pPr>
        <w:sectPr>
          <w:pgSz w:w="11900" w:h="16838" w:orient="portrait"/>
          <w:cols w:equalWidth="0" w:num="1">
            <w:col w:w="11280"/>
          </w:cols>
          <w:pgMar w:left="300" w:top="793" w:right="319" w:bottom="1440" w:gutter="0" w:footer="0" w:header="0"/>
          <w:type w:val="continuous"/>
        </w:sectPr>
      </w:pPr>
    </w:p>
    <w:bookmarkStart w:id="14" w:name="page15"/>
    <w:bookmarkEnd w:id="14"/>
    <w:p>
      <w:pPr>
        <w:spacing w:after="0" w:line="25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The overall quality of our loan portfolio remains strong, supported by disciplined underwriting, borrower strength, and robust credit metrics. Credit quality metrics remained stable in the fourth quarter, with reductions in nonperforming, criticized, and special mention loans and leases, as a percentage of total loans and leases held for investment, of 8 basis points, 24 basis points, and 27 basis points, respectively, during the fourth quarter to 0.64%, 5.03%, and 1.83% at December 31, 2025, respectively.</w:t>
      </w:r>
    </w:p>
    <w:p>
      <w:pPr>
        <w:spacing w:after="0" w:line="51"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At December 31, 2025, total delinquent loans and leases were $ 201.0 million, compared to $161.4 million at September 30, 2025. The $39.6 million increase in total delinquent loans was driven by higher balances in the 30 to 89 days delinquent category offset partially by lower balances in the 90 or more days delinquent category. The 30 to 89 days delinquent category increased by $32.9 million in multi-family real estate mortgage loans and $26.5 million in residential real estate construction and land loans, offset partially by a decrease of $ 11.7 million in other residential real estate mortgage loans. In the 90 or more days delinquent category, there were decreases of $9.9 million in other residential real estate mortgage loans and $4.7 million in commercial real estate mortgage loans. Total delinquent loans and leases as a percentage of loans and leases held for investment increased to 0.80% at December 31, 2025 from 0.67% at September 30, 2025.</w:t>
      </w:r>
    </w:p>
    <w:p>
      <w:pPr>
        <w:spacing w:after="0" w:line="47" w:lineRule="exact"/>
        <w:rPr>
          <w:sz w:val="20"/>
          <w:szCs w:val="20"/>
          <w:color w:val="auto"/>
        </w:rPr>
      </w:pPr>
    </w:p>
    <w:p>
      <w:pPr>
        <w:ind w:right="280"/>
        <w:spacing w:after="0" w:line="286" w:lineRule="auto"/>
        <w:rPr>
          <w:sz w:val="20"/>
          <w:szCs w:val="20"/>
          <w:color w:val="auto"/>
        </w:rPr>
      </w:pPr>
      <w:r>
        <w:rPr>
          <w:rFonts w:ascii="Arial" w:cs="Arial" w:eastAsia="Arial" w:hAnsi="Arial"/>
          <w:sz w:val="12"/>
          <w:szCs w:val="12"/>
          <w:color w:val="auto"/>
        </w:rPr>
        <w:t>At December 31, 2025, nonperforming loans and leases were $159.2 million, compared to $174.5 million at September 30, 2025. During the fourth quarter, nonperforming loans and leases decreased by $15.4 million due to payoffs and paydowns of $21.3 million, transfers to accrual status of $4.5 million, and charge-offs of $3.5 million, offset partially by additions of $13.9 million.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Nonperforming loans and leases as a percentage of loans and leases held for investment decreased to 0.64% at December 31, 2025 from 0.72% at September 30, 2025.</w:t>
      </w:r>
    </w:p>
    <w:p>
      <w:pPr>
        <w:spacing w:after="0" w:line="78"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At December 31, 2025, nonperforming assets were $176.3 million, or 0.51% of total assets, compared to $179.3 million, or 0.53% of total assets, as of September 30, 2025. At December 31, 2025, nonperforming assets included $17.1 million of foreclosed assets, consisting primarily of single-family residences.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387985</wp:posOffset>
            </wp:positionV>
            <wp:extent cx="548640"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11</w:t>
      </w:r>
    </w:p>
    <w:p>
      <w:pPr>
        <w:sectPr>
          <w:pgSz w:w="11900" w:h="16838" w:orient="portrait"/>
          <w:cols w:equalWidth="0" w:num="1">
            <w:col w:w="11300"/>
          </w:cols>
          <w:pgMar w:left="300" w:top="793"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Allowance for Credit Losses – Loans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131"/>
        </w:trPr>
        <w:tc>
          <w:tcPr>
            <w:tcW w:w="16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7"/>
              </w:rPr>
              <w:t>Three Months Ended</w:t>
            </w: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3"/>
          </w:tcPr>
          <w:p>
            <w:pPr>
              <w:jc w:val="right"/>
              <w:ind w:right="192"/>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6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September 30,</w:t>
            </w:r>
          </w:p>
        </w:tc>
        <w:tc>
          <w:tcPr>
            <w:tcW w:w="140" w:type="dxa"/>
            <w:vAlign w:val="bottom"/>
          </w:tcPr>
          <w:p>
            <w:pPr>
              <w:spacing w:after="0"/>
              <w:rPr>
                <w:sz w:val="10"/>
                <w:szCs w:val="1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December 31,</w:t>
            </w:r>
          </w:p>
        </w:tc>
        <w:tc>
          <w:tcPr>
            <w:tcW w:w="3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Allowance for Credit Losses - Loans</w:t>
            </w:r>
          </w:p>
        </w:tc>
        <w:tc>
          <w:tcPr>
            <w:tcW w:w="240" w:type="dxa"/>
            <w:vAlign w:val="bottom"/>
          </w:tcPr>
          <w:p>
            <w:pPr>
              <w:spacing w:after="0"/>
              <w:rPr>
                <w:sz w:val="8"/>
                <w:szCs w:val="8"/>
                <w:color w:val="auto"/>
              </w:rPr>
            </w:pPr>
          </w:p>
        </w:tc>
        <w:tc>
          <w:tcPr>
            <w:tcW w:w="12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9"/>
              </w:rPr>
              <w:t>2025</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9"/>
              </w:rPr>
              <w:t>2024</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jc w:val="right"/>
              <w:ind w:right="612"/>
              <w:spacing w:after="0" w:line="99" w:lineRule="exact"/>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20"/>
        </w:trPr>
        <w:tc>
          <w:tcPr>
            <w:tcW w:w="16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6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i w:val="1"/>
                <w:iCs w:val="1"/>
                <w:color w:val="auto"/>
                <w:w w:val="96"/>
              </w:rPr>
              <w:t>(Dollars in thousands)</w:t>
            </w: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rPr>
                <w:sz w:val="20"/>
                <w:szCs w:val="20"/>
                <w:color w:val="auto"/>
              </w:rPr>
            </w:pPr>
            <w:r>
              <w:rPr>
                <w:rFonts w:ascii="Arial" w:cs="Arial" w:eastAsia="Arial" w:hAnsi="Arial"/>
                <w:sz w:val="10"/>
                <w:szCs w:val="10"/>
                <w:b w:val="1"/>
                <w:bCs w:val="1"/>
                <w:color w:val="auto"/>
              </w:rPr>
              <w:t>Allowance for loan and lease losses</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80"/>
              <w:spacing w:after="0"/>
              <w:rPr>
                <w:sz w:val="20"/>
                <w:szCs w:val="20"/>
                <w:color w:val="auto"/>
              </w:rPr>
            </w:pPr>
            <w:r>
              <w:rPr>
                <w:rFonts w:ascii="Arial" w:cs="Arial" w:eastAsia="Arial" w:hAnsi="Arial"/>
                <w:sz w:val="10"/>
                <w:szCs w:val="10"/>
                <w:b w:val="1"/>
                <w:bCs w:val="1"/>
                <w:color w:val="auto"/>
              </w:rPr>
              <w:t>("ALLL"):</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Balance at beginning of period</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240,501</w:t>
            </w:r>
          </w:p>
        </w:tc>
        <w:tc>
          <w:tcPr>
            <w:tcW w:w="10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229,344</w:t>
            </w:r>
          </w:p>
        </w:tc>
        <w:tc>
          <w:tcPr>
            <w:tcW w:w="10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92"/>
              <w:spacing w:after="0"/>
              <w:rPr>
                <w:sz w:val="20"/>
                <w:szCs w:val="20"/>
                <w:color w:val="auto"/>
              </w:rPr>
            </w:pPr>
            <w:r>
              <w:rPr>
                <w:rFonts w:ascii="Arial" w:cs="Arial" w:eastAsia="Arial" w:hAnsi="Arial"/>
                <w:sz w:val="10"/>
                <w:szCs w:val="10"/>
                <w:color w:val="auto"/>
              </w:rPr>
              <w:t>254,345</w:t>
            </w:r>
          </w:p>
        </w:tc>
        <w:tc>
          <w:tcPr>
            <w:tcW w:w="6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239,360</w:t>
            </w:r>
          </w:p>
        </w:tc>
        <w:tc>
          <w:tcPr>
            <w:tcW w:w="8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281,687</w:t>
            </w:r>
          </w:p>
        </w:tc>
        <w:tc>
          <w:tcPr>
            <w:tcW w:w="0" w:type="dxa"/>
            <w:vAlign w:val="bottom"/>
          </w:tcPr>
          <w:p>
            <w:pPr>
              <w:spacing w:after="0"/>
              <w:rPr>
                <w:sz w:val="1"/>
                <w:szCs w:val="1"/>
                <w:color w:val="auto"/>
              </w:rPr>
            </w:pPr>
          </w:p>
        </w:tc>
      </w:tr>
      <w:tr>
        <w:trPr>
          <w:trHeight w:val="135"/>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Charge-offs</w:t>
            </w:r>
          </w:p>
        </w:tc>
        <w:tc>
          <w:tcPr>
            <w:tcW w:w="240" w:type="dxa"/>
            <w:vAlign w:val="bottom"/>
          </w:tcPr>
          <w:p>
            <w:pPr>
              <w:spacing w:after="0"/>
              <w:rPr>
                <w:sz w:val="11"/>
                <w:szCs w:val="11"/>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(5,541)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ind w:right="52"/>
              <w:spacing w:after="0"/>
              <w:rPr>
                <w:sz w:val="20"/>
                <w:szCs w:val="20"/>
                <w:color w:val="auto"/>
              </w:rPr>
            </w:pPr>
            <w:r>
              <w:rPr>
                <w:rFonts w:ascii="Arial" w:cs="Arial" w:eastAsia="Arial" w:hAnsi="Arial"/>
                <w:sz w:val="10"/>
                <w:szCs w:val="10"/>
                <w:color w:val="auto"/>
              </w:rPr>
              <w:t>(6,465)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52"/>
              <w:spacing w:after="0"/>
              <w:rPr>
                <w:sz w:val="20"/>
                <w:szCs w:val="20"/>
                <w:color w:val="auto"/>
              </w:rPr>
            </w:pPr>
            <w:r>
              <w:rPr>
                <w:rFonts w:ascii="Arial" w:cs="Arial" w:eastAsia="Arial" w:hAnsi="Arial"/>
                <w:sz w:val="10"/>
                <w:szCs w:val="10"/>
                <w:color w:val="auto"/>
              </w:rPr>
              <w:t>(27,696)</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(75,505)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(94,943)</w:t>
            </w:r>
          </w:p>
        </w:tc>
        <w:tc>
          <w:tcPr>
            <w:tcW w:w="0" w:type="dxa"/>
            <w:vAlign w:val="bottom"/>
          </w:tcPr>
          <w:p>
            <w:pPr>
              <w:spacing w:after="0"/>
              <w:rPr>
                <w:sz w:val="1"/>
                <w:szCs w:val="1"/>
                <w:color w:val="auto"/>
              </w:rPr>
            </w:pPr>
          </w:p>
        </w:tc>
      </w:tr>
      <w:tr>
        <w:trPr>
          <w:trHeight w:val="135"/>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Recoveries</w:t>
            </w: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2,852</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8,922</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1,211</w:t>
            </w: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16,977</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9,116</w:t>
            </w:r>
          </w:p>
        </w:tc>
        <w:tc>
          <w:tcPr>
            <w:tcW w:w="0" w:type="dxa"/>
            <w:vAlign w:val="bottom"/>
          </w:tcPr>
          <w:p>
            <w:pPr>
              <w:spacing w:after="0"/>
              <w:rPr>
                <w:sz w:val="1"/>
                <w:szCs w:val="1"/>
                <w:color w:val="auto"/>
              </w:rPr>
            </w:pPr>
          </w:p>
        </w:tc>
      </w:tr>
      <w:tr>
        <w:trPr>
          <w:trHeight w:val="124"/>
        </w:trPr>
        <w:tc>
          <w:tcPr>
            <w:tcW w:w="3340" w:type="dxa"/>
            <w:vAlign w:val="bottom"/>
            <w:gridSpan w:val="2"/>
          </w:tcPr>
          <w:p>
            <w:pPr>
              <w:ind w:left="240"/>
              <w:spacing w:after="0"/>
              <w:rPr>
                <w:sz w:val="20"/>
                <w:szCs w:val="20"/>
                <w:color w:val="auto"/>
              </w:rPr>
            </w:pPr>
            <w:r>
              <w:rPr>
                <w:rFonts w:ascii="Arial" w:cs="Arial" w:eastAsia="Arial" w:hAnsi="Arial"/>
                <w:sz w:val="10"/>
                <w:szCs w:val="10"/>
                <w:color w:val="auto"/>
              </w:rPr>
              <w:t>Net (charge-offs) recoveries</w:t>
            </w:r>
          </w:p>
        </w:tc>
        <w:tc>
          <w:tcPr>
            <w:tcW w:w="240" w:type="dxa"/>
            <w:vAlign w:val="bottom"/>
          </w:tcPr>
          <w:p>
            <w:pPr>
              <w:spacing w:after="0"/>
              <w:rPr>
                <w:sz w:val="10"/>
                <w:szCs w:val="10"/>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(2,689)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2,457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right"/>
              <w:ind w:right="52"/>
              <w:spacing w:after="0"/>
              <w:rPr>
                <w:sz w:val="20"/>
                <w:szCs w:val="20"/>
                <w:color w:val="auto"/>
              </w:rPr>
            </w:pPr>
            <w:r>
              <w:rPr>
                <w:rFonts w:ascii="Arial" w:cs="Arial" w:eastAsia="Arial" w:hAnsi="Arial"/>
                <w:sz w:val="10"/>
                <w:szCs w:val="10"/>
                <w:color w:val="auto"/>
              </w:rPr>
              <w:t>(26,485)</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(58,528)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(85,827)</w:t>
            </w:r>
          </w:p>
        </w:tc>
        <w:tc>
          <w:tcPr>
            <w:tcW w:w="0" w:type="dxa"/>
            <w:vAlign w:val="bottom"/>
          </w:tcPr>
          <w:p>
            <w:pPr>
              <w:spacing w:after="0"/>
              <w:rPr>
                <w:sz w:val="1"/>
                <w:szCs w:val="1"/>
                <w:color w:val="auto"/>
              </w:rPr>
            </w:pPr>
          </w:p>
        </w:tc>
      </w:tr>
      <w:tr>
        <w:trPr>
          <w:trHeight w:val="135"/>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Provision for loan losses</w:t>
            </w: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7,800</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8,700</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11,500</w:t>
            </w: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64,780</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43,500</w:t>
            </w:r>
          </w:p>
        </w:tc>
        <w:tc>
          <w:tcPr>
            <w:tcW w:w="0" w:type="dxa"/>
            <w:vAlign w:val="bottom"/>
          </w:tcPr>
          <w:p>
            <w:pPr>
              <w:spacing w:after="0"/>
              <w:rPr>
                <w:sz w:val="1"/>
                <w:szCs w:val="1"/>
                <w:color w:val="auto"/>
              </w:rPr>
            </w:pPr>
          </w:p>
        </w:tc>
      </w:tr>
      <w:tr>
        <w:trPr>
          <w:trHeight w:val="124"/>
        </w:trPr>
        <w:tc>
          <w:tcPr>
            <w:tcW w:w="3340" w:type="dxa"/>
            <w:vAlign w:val="bottom"/>
            <w:gridSpan w:val="2"/>
          </w:tcPr>
          <w:p>
            <w:pPr>
              <w:ind w:left="240"/>
              <w:spacing w:after="0"/>
              <w:rPr>
                <w:sz w:val="20"/>
                <w:szCs w:val="20"/>
                <w:color w:val="auto"/>
              </w:rPr>
            </w:pPr>
            <w:r>
              <w:rPr>
                <w:rFonts w:ascii="Arial" w:cs="Arial" w:eastAsia="Arial" w:hAnsi="Arial"/>
                <w:sz w:val="10"/>
                <w:szCs w:val="10"/>
                <w:color w:val="auto"/>
              </w:rPr>
              <w:t>Balance at end of period</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245,612</w:t>
            </w:r>
          </w:p>
        </w:tc>
        <w:tc>
          <w:tcPr>
            <w:tcW w:w="10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240,501</w:t>
            </w:r>
          </w:p>
        </w:tc>
        <w:tc>
          <w:tcPr>
            <w:tcW w:w="10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239,360</w:t>
            </w:r>
          </w:p>
        </w:tc>
        <w:tc>
          <w:tcPr>
            <w:tcW w:w="60" w:type="dxa"/>
            <w:vAlign w:val="bottom"/>
          </w:tcPr>
          <w:p>
            <w:pPr>
              <w:spacing w:after="0"/>
              <w:rPr>
                <w:sz w:val="10"/>
                <w:szCs w:val="10"/>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245,612</w:t>
            </w:r>
          </w:p>
        </w:tc>
        <w:tc>
          <w:tcPr>
            <w:tcW w:w="80" w:type="dxa"/>
            <w:vAlign w:val="bottom"/>
          </w:tcPr>
          <w:p>
            <w:pPr>
              <w:spacing w:after="0"/>
              <w:rPr>
                <w:sz w:val="10"/>
                <w:szCs w:val="10"/>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239,360</w:t>
            </w: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0"/>
                <w:szCs w:val="10"/>
                <w:b w:val="1"/>
                <w:bCs w:val="1"/>
                <w:color w:val="auto"/>
              </w:rPr>
              <w:t>Reserve for unfunded loan</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80"/>
              <w:spacing w:after="0"/>
              <w:rPr>
                <w:sz w:val="20"/>
                <w:szCs w:val="20"/>
                <w:color w:val="auto"/>
              </w:rPr>
            </w:pPr>
            <w:r>
              <w:rPr>
                <w:rFonts w:ascii="Arial" w:cs="Arial" w:eastAsia="Arial" w:hAnsi="Arial"/>
                <w:sz w:val="10"/>
                <w:szCs w:val="10"/>
                <w:b w:val="1"/>
                <w:bCs w:val="1"/>
                <w:color w:val="auto"/>
              </w:rPr>
              <w:t>commitments ("RUC"):</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Balance at beginning of period</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30,221</w:t>
            </w:r>
          </w:p>
        </w:tc>
        <w:tc>
          <w:tcPr>
            <w:tcW w:w="10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29,221</w:t>
            </w:r>
          </w:p>
        </w:tc>
        <w:tc>
          <w:tcPr>
            <w:tcW w:w="10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92"/>
              <w:spacing w:after="0"/>
              <w:rPr>
                <w:sz w:val="20"/>
                <w:szCs w:val="20"/>
                <w:color w:val="auto"/>
              </w:rPr>
            </w:pPr>
            <w:r>
              <w:rPr>
                <w:rFonts w:ascii="Arial" w:cs="Arial" w:eastAsia="Arial" w:hAnsi="Arial"/>
                <w:sz w:val="10"/>
                <w:szCs w:val="10"/>
                <w:color w:val="auto"/>
              </w:rPr>
              <w:t>27,571</w:t>
            </w:r>
          </w:p>
        </w:tc>
        <w:tc>
          <w:tcPr>
            <w:tcW w:w="6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29,071</w:t>
            </w:r>
          </w:p>
        </w:tc>
        <w:tc>
          <w:tcPr>
            <w:tcW w:w="8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29,571</w:t>
            </w:r>
          </w:p>
        </w:tc>
        <w:tc>
          <w:tcPr>
            <w:tcW w:w="0" w:type="dxa"/>
            <w:vAlign w:val="bottom"/>
          </w:tcPr>
          <w:p>
            <w:pPr>
              <w:spacing w:after="0"/>
              <w:rPr>
                <w:sz w:val="1"/>
                <w:szCs w:val="1"/>
                <w:color w:val="auto"/>
              </w:rPr>
            </w:pPr>
          </w:p>
        </w:tc>
      </w:tr>
      <w:tr>
        <w:trPr>
          <w:trHeight w:val="135"/>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Provision for credit losses</w:t>
            </w: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4,700</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1,500</w:t>
            </w: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5,850</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124"/>
        </w:trPr>
        <w:tc>
          <w:tcPr>
            <w:tcW w:w="3340" w:type="dxa"/>
            <w:vAlign w:val="bottom"/>
            <w:gridSpan w:val="2"/>
          </w:tcPr>
          <w:p>
            <w:pPr>
              <w:ind w:left="240"/>
              <w:spacing w:after="0"/>
              <w:rPr>
                <w:sz w:val="20"/>
                <w:szCs w:val="20"/>
                <w:color w:val="auto"/>
              </w:rPr>
            </w:pPr>
            <w:r>
              <w:rPr>
                <w:rFonts w:ascii="Arial" w:cs="Arial" w:eastAsia="Arial" w:hAnsi="Arial"/>
                <w:sz w:val="10"/>
                <w:szCs w:val="10"/>
                <w:color w:val="auto"/>
              </w:rPr>
              <w:t>Balance at end of period</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34,921</w:t>
            </w:r>
          </w:p>
        </w:tc>
        <w:tc>
          <w:tcPr>
            <w:tcW w:w="10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30,221</w:t>
            </w:r>
          </w:p>
        </w:tc>
        <w:tc>
          <w:tcPr>
            <w:tcW w:w="10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29,071</w:t>
            </w:r>
          </w:p>
        </w:tc>
        <w:tc>
          <w:tcPr>
            <w:tcW w:w="60" w:type="dxa"/>
            <w:vAlign w:val="bottom"/>
          </w:tcPr>
          <w:p>
            <w:pPr>
              <w:spacing w:after="0"/>
              <w:rPr>
                <w:sz w:val="10"/>
                <w:szCs w:val="10"/>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34,921</w:t>
            </w:r>
          </w:p>
        </w:tc>
        <w:tc>
          <w:tcPr>
            <w:tcW w:w="80" w:type="dxa"/>
            <w:vAlign w:val="bottom"/>
          </w:tcPr>
          <w:p>
            <w:pPr>
              <w:spacing w:after="0"/>
              <w:rPr>
                <w:sz w:val="10"/>
                <w:szCs w:val="10"/>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29,071</w:t>
            </w: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0"/>
                <w:szCs w:val="10"/>
                <w:b w:val="1"/>
                <w:bCs w:val="1"/>
                <w:color w:val="auto"/>
              </w:rPr>
              <w:t>Allowance for credit losses ("ACL") -</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80"/>
              <w:spacing w:after="0"/>
              <w:rPr>
                <w:sz w:val="20"/>
                <w:szCs w:val="20"/>
                <w:color w:val="auto"/>
              </w:rPr>
            </w:pPr>
            <w:r>
              <w:rPr>
                <w:rFonts w:ascii="Arial" w:cs="Arial" w:eastAsia="Arial" w:hAnsi="Arial"/>
                <w:sz w:val="10"/>
                <w:szCs w:val="10"/>
                <w:b w:val="1"/>
                <w:bCs w:val="1"/>
                <w:color w:val="auto"/>
              </w:rPr>
              <w:t>Loans:</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Balance at beginning of period</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270,722</w:t>
            </w:r>
          </w:p>
        </w:tc>
        <w:tc>
          <w:tcPr>
            <w:tcW w:w="10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258,565</w:t>
            </w:r>
          </w:p>
        </w:tc>
        <w:tc>
          <w:tcPr>
            <w:tcW w:w="10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92"/>
              <w:spacing w:after="0"/>
              <w:rPr>
                <w:sz w:val="20"/>
                <w:szCs w:val="20"/>
                <w:color w:val="auto"/>
              </w:rPr>
            </w:pPr>
            <w:r>
              <w:rPr>
                <w:rFonts w:ascii="Arial" w:cs="Arial" w:eastAsia="Arial" w:hAnsi="Arial"/>
                <w:sz w:val="10"/>
                <w:szCs w:val="10"/>
                <w:color w:val="auto"/>
              </w:rPr>
              <w:t>281,916</w:t>
            </w:r>
          </w:p>
        </w:tc>
        <w:tc>
          <w:tcPr>
            <w:tcW w:w="6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268,431</w:t>
            </w:r>
          </w:p>
        </w:tc>
        <w:tc>
          <w:tcPr>
            <w:tcW w:w="8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311,258</w:t>
            </w:r>
          </w:p>
        </w:tc>
        <w:tc>
          <w:tcPr>
            <w:tcW w:w="0" w:type="dxa"/>
            <w:vAlign w:val="bottom"/>
          </w:tcPr>
          <w:p>
            <w:pPr>
              <w:spacing w:after="0"/>
              <w:rPr>
                <w:sz w:val="1"/>
                <w:szCs w:val="1"/>
                <w:color w:val="auto"/>
              </w:rPr>
            </w:pPr>
          </w:p>
        </w:tc>
      </w:tr>
      <w:tr>
        <w:trPr>
          <w:trHeight w:val="135"/>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Charge-offs</w:t>
            </w:r>
          </w:p>
        </w:tc>
        <w:tc>
          <w:tcPr>
            <w:tcW w:w="240" w:type="dxa"/>
            <w:vAlign w:val="bottom"/>
          </w:tcPr>
          <w:p>
            <w:pPr>
              <w:spacing w:after="0"/>
              <w:rPr>
                <w:sz w:val="11"/>
                <w:szCs w:val="11"/>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(5,541)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ind w:right="52"/>
              <w:spacing w:after="0"/>
              <w:rPr>
                <w:sz w:val="20"/>
                <w:szCs w:val="20"/>
                <w:color w:val="auto"/>
              </w:rPr>
            </w:pPr>
            <w:r>
              <w:rPr>
                <w:rFonts w:ascii="Arial" w:cs="Arial" w:eastAsia="Arial" w:hAnsi="Arial"/>
                <w:sz w:val="10"/>
                <w:szCs w:val="10"/>
                <w:color w:val="auto"/>
              </w:rPr>
              <w:t>(6,465)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52"/>
              <w:spacing w:after="0"/>
              <w:rPr>
                <w:sz w:val="20"/>
                <w:szCs w:val="20"/>
                <w:color w:val="auto"/>
              </w:rPr>
            </w:pPr>
            <w:r>
              <w:rPr>
                <w:rFonts w:ascii="Arial" w:cs="Arial" w:eastAsia="Arial" w:hAnsi="Arial"/>
                <w:sz w:val="10"/>
                <w:szCs w:val="10"/>
                <w:color w:val="auto"/>
              </w:rPr>
              <w:t>(27,696)</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(75,505)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(94,943)</w:t>
            </w:r>
          </w:p>
        </w:tc>
        <w:tc>
          <w:tcPr>
            <w:tcW w:w="0" w:type="dxa"/>
            <w:vAlign w:val="bottom"/>
          </w:tcPr>
          <w:p>
            <w:pPr>
              <w:spacing w:after="0"/>
              <w:rPr>
                <w:sz w:val="1"/>
                <w:szCs w:val="1"/>
                <w:color w:val="auto"/>
              </w:rPr>
            </w:pPr>
          </w:p>
        </w:tc>
      </w:tr>
      <w:tr>
        <w:trPr>
          <w:trHeight w:val="135"/>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Recoveries</w:t>
            </w: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2,852</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8,922</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1,211</w:t>
            </w: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16,977</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9,116</w:t>
            </w:r>
          </w:p>
        </w:tc>
        <w:tc>
          <w:tcPr>
            <w:tcW w:w="0" w:type="dxa"/>
            <w:vAlign w:val="bottom"/>
          </w:tcPr>
          <w:p>
            <w:pPr>
              <w:spacing w:after="0"/>
              <w:rPr>
                <w:sz w:val="1"/>
                <w:szCs w:val="1"/>
                <w:color w:val="auto"/>
              </w:rPr>
            </w:pPr>
          </w:p>
        </w:tc>
      </w:tr>
      <w:tr>
        <w:trPr>
          <w:trHeight w:val="124"/>
        </w:trPr>
        <w:tc>
          <w:tcPr>
            <w:tcW w:w="3340" w:type="dxa"/>
            <w:vAlign w:val="bottom"/>
            <w:gridSpan w:val="2"/>
          </w:tcPr>
          <w:p>
            <w:pPr>
              <w:ind w:left="240"/>
              <w:spacing w:after="0"/>
              <w:rPr>
                <w:sz w:val="20"/>
                <w:szCs w:val="20"/>
                <w:color w:val="auto"/>
              </w:rPr>
            </w:pPr>
            <w:r>
              <w:rPr>
                <w:rFonts w:ascii="Arial" w:cs="Arial" w:eastAsia="Arial" w:hAnsi="Arial"/>
                <w:sz w:val="10"/>
                <w:szCs w:val="10"/>
                <w:color w:val="auto"/>
              </w:rPr>
              <w:t>Net (charge-offs) recoveries</w:t>
            </w:r>
          </w:p>
        </w:tc>
        <w:tc>
          <w:tcPr>
            <w:tcW w:w="240" w:type="dxa"/>
            <w:vAlign w:val="bottom"/>
          </w:tcPr>
          <w:p>
            <w:pPr>
              <w:spacing w:after="0"/>
              <w:rPr>
                <w:sz w:val="10"/>
                <w:szCs w:val="10"/>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(2,689)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2,457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right"/>
              <w:ind w:right="52"/>
              <w:spacing w:after="0"/>
              <w:rPr>
                <w:sz w:val="20"/>
                <w:szCs w:val="20"/>
                <w:color w:val="auto"/>
              </w:rPr>
            </w:pPr>
            <w:r>
              <w:rPr>
                <w:rFonts w:ascii="Arial" w:cs="Arial" w:eastAsia="Arial" w:hAnsi="Arial"/>
                <w:sz w:val="10"/>
                <w:szCs w:val="10"/>
                <w:color w:val="auto"/>
              </w:rPr>
              <w:t>(26,485)</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(58,528)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(85,827)</w:t>
            </w:r>
          </w:p>
        </w:tc>
        <w:tc>
          <w:tcPr>
            <w:tcW w:w="0" w:type="dxa"/>
            <w:vAlign w:val="bottom"/>
          </w:tcPr>
          <w:p>
            <w:pPr>
              <w:spacing w:after="0"/>
              <w:rPr>
                <w:sz w:val="1"/>
                <w:szCs w:val="1"/>
                <w:color w:val="auto"/>
              </w:rPr>
            </w:pPr>
          </w:p>
        </w:tc>
      </w:tr>
      <w:tr>
        <w:trPr>
          <w:trHeight w:val="138"/>
        </w:trPr>
        <w:tc>
          <w:tcPr>
            <w:tcW w:w="3340" w:type="dxa"/>
            <w:vAlign w:val="bottom"/>
            <w:gridSpan w:val="2"/>
          </w:tcPr>
          <w:p>
            <w:pPr>
              <w:ind w:left="100"/>
              <w:spacing w:after="0"/>
              <w:rPr>
                <w:sz w:val="20"/>
                <w:szCs w:val="20"/>
                <w:color w:val="auto"/>
              </w:rPr>
            </w:pPr>
            <w:r>
              <w:rPr>
                <w:rFonts w:ascii="Arial" w:cs="Arial" w:eastAsia="Arial" w:hAnsi="Arial"/>
                <w:sz w:val="10"/>
                <w:szCs w:val="10"/>
                <w:color w:val="auto"/>
              </w:rPr>
              <w:t>Provision for credit losses</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12,500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9,700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13,000</w:t>
            </w: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70,630</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43,000</w:t>
            </w:r>
          </w:p>
        </w:tc>
        <w:tc>
          <w:tcPr>
            <w:tcW w:w="0" w:type="dxa"/>
            <w:vAlign w:val="bottom"/>
          </w:tcPr>
          <w:p>
            <w:pPr>
              <w:spacing w:after="0"/>
              <w:rPr>
                <w:sz w:val="1"/>
                <w:szCs w:val="1"/>
                <w:color w:val="auto"/>
              </w:rPr>
            </w:pPr>
          </w:p>
        </w:tc>
      </w:tr>
      <w:tr>
        <w:trPr>
          <w:trHeight w:val="127"/>
        </w:trPr>
        <w:tc>
          <w:tcPr>
            <w:tcW w:w="3340" w:type="dxa"/>
            <w:vAlign w:val="bottom"/>
            <w:gridSpan w:val="2"/>
          </w:tcPr>
          <w:p>
            <w:pPr>
              <w:ind w:left="240"/>
              <w:spacing w:after="0"/>
              <w:rPr>
                <w:sz w:val="20"/>
                <w:szCs w:val="20"/>
                <w:color w:val="auto"/>
              </w:rPr>
            </w:pPr>
            <w:r>
              <w:rPr>
                <w:rFonts w:ascii="Arial" w:cs="Arial" w:eastAsia="Arial" w:hAnsi="Arial"/>
                <w:sz w:val="10"/>
                <w:szCs w:val="10"/>
                <w:color w:val="auto"/>
              </w:rPr>
              <w:t>Balance at end of period</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280,533</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270,722</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268,431</w:t>
            </w:r>
          </w:p>
        </w:tc>
        <w:tc>
          <w:tcPr>
            <w:tcW w:w="60" w:type="dxa"/>
            <w:vAlign w:val="bottom"/>
          </w:tcPr>
          <w:p>
            <w:pPr>
              <w:spacing w:after="0"/>
              <w:rPr>
                <w:sz w:val="11"/>
                <w:szCs w:val="11"/>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280,533</w:t>
            </w: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268,431</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20"/>
              <w:spacing w:after="0"/>
              <w:rPr>
                <w:sz w:val="20"/>
                <w:szCs w:val="20"/>
                <w:color w:val="auto"/>
              </w:rPr>
            </w:pPr>
            <w:r>
              <w:rPr>
                <w:rFonts w:ascii="Arial" w:cs="Arial" w:eastAsia="Arial" w:hAnsi="Arial"/>
                <w:sz w:val="10"/>
                <w:szCs w:val="10"/>
                <w:color w:val="auto"/>
              </w:rPr>
              <w:t>ALLL to loans and leases held for</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160"/>
              <w:spacing w:after="0"/>
              <w:rPr>
                <w:sz w:val="20"/>
                <w:szCs w:val="20"/>
                <w:color w:val="auto"/>
              </w:rPr>
            </w:pPr>
            <w:r>
              <w:rPr>
                <w:rFonts w:ascii="Arial" w:cs="Arial" w:eastAsia="Arial" w:hAnsi="Arial"/>
                <w:sz w:val="10"/>
                <w:szCs w:val="10"/>
                <w:color w:val="auto"/>
              </w:rPr>
              <w:t>investment</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0.98 %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1.00 %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1.01 %</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0.98 %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1.01 %</w:t>
            </w: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rPr>
                <w:sz w:val="20"/>
                <w:szCs w:val="20"/>
                <w:color w:val="auto"/>
              </w:rPr>
            </w:pPr>
            <w:r>
              <w:rPr>
                <w:rFonts w:ascii="Arial" w:cs="Arial" w:eastAsia="Arial" w:hAnsi="Arial"/>
                <w:sz w:val="10"/>
                <w:szCs w:val="10"/>
                <w:color w:val="auto"/>
              </w:rPr>
              <w:t>ACL to loans and leases held for</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160"/>
              <w:spacing w:after="0"/>
              <w:rPr>
                <w:sz w:val="20"/>
                <w:szCs w:val="20"/>
                <w:color w:val="auto"/>
              </w:rPr>
            </w:pPr>
            <w:r>
              <w:rPr>
                <w:rFonts w:ascii="Arial" w:cs="Arial" w:eastAsia="Arial" w:hAnsi="Arial"/>
                <w:sz w:val="10"/>
                <w:szCs w:val="10"/>
                <w:color w:val="auto"/>
              </w:rPr>
              <w:t>investment</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1.12 %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1.12 %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1.13 %</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1.12 %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1.13 %</w:t>
            </w: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rPr>
                <w:sz w:val="20"/>
                <w:szCs w:val="20"/>
                <w:color w:val="auto"/>
              </w:rPr>
            </w:pPr>
            <w:r>
              <w:rPr>
                <w:rFonts w:ascii="Arial" w:cs="Arial" w:eastAsia="Arial" w:hAnsi="Arial"/>
                <w:sz w:val="10"/>
                <w:szCs w:val="10"/>
                <w:color w:val="auto"/>
              </w:rPr>
              <w:t>ACL to NPLs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176.25 %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155.11 %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141.57 %</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176.25 %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141.57 %</w:t>
            </w: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rPr>
                <w:sz w:val="20"/>
                <w:szCs w:val="20"/>
                <w:color w:val="auto"/>
              </w:rPr>
            </w:pPr>
            <w:r>
              <w:rPr>
                <w:rFonts w:ascii="Arial" w:cs="Arial" w:eastAsia="Arial" w:hAnsi="Arial"/>
                <w:sz w:val="10"/>
                <w:szCs w:val="10"/>
                <w:color w:val="auto"/>
              </w:rPr>
              <w:t>ACL to NPAs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159.14 %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150.96 %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134.66 %</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159.14 %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134.66 %</w:t>
            </w: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rPr>
                <w:sz w:val="20"/>
                <w:szCs w:val="20"/>
                <w:color w:val="auto"/>
              </w:rPr>
            </w:pPr>
            <w:r>
              <w:rPr>
                <w:rFonts w:ascii="Arial" w:cs="Arial" w:eastAsia="Arial" w:hAnsi="Arial"/>
                <w:sz w:val="10"/>
                <w:szCs w:val="10"/>
                <w:color w:val="auto"/>
              </w:rPr>
              <w:t>Annualized net charge-offs (recoveries)</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160"/>
              <w:spacing w:after="0"/>
              <w:rPr>
                <w:sz w:val="20"/>
                <w:szCs w:val="20"/>
                <w:color w:val="auto"/>
              </w:rPr>
            </w:pPr>
            <w:r>
              <w:rPr>
                <w:rFonts w:ascii="Arial" w:cs="Arial" w:eastAsia="Arial" w:hAnsi="Arial"/>
                <w:sz w:val="10"/>
                <w:szCs w:val="10"/>
                <w:color w:val="auto"/>
              </w:rPr>
              <w:t>to average loans and leases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0.04 %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(0.04)%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0.45 %</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0.24 %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0.35 %</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allowance for credit losses - loans, which includes the reserve for unfunded loan commitments, totaled $280.5 million, or 1.12% of total loans and leases, at December 31, 2025, compared to $270.7 million, or 1.12% of total loans and leases, at September 30, 2025. The $9.8 million increase in the allowance was driven by a $12.5 million provision, offset partially by net charge-offs of $2.7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342265</wp:posOffset>
            </wp:positionV>
            <wp:extent cx="54864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12</w:t>
      </w:r>
    </w:p>
    <w:p>
      <w:pPr>
        <w:sectPr>
          <w:pgSz w:w="11900" w:h="16838" w:orient="portrait"/>
          <w:cols w:equalWidth="0" w:num="1">
            <w:col w:w="11240"/>
          </w:cols>
          <w:pgMar w:left="300" w:top="957" w:right="359" w:bottom="1440" w:gutter="0" w:footer="0" w:header="0"/>
        </w:sectPr>
      </w:pPr>
    </w:p>
    <w:bookmarkStart w:id="16" w:name="page17"/>
    <w:bookmarkEnd w:id="16"/>
    <w:p>
      <w:pPr>
        <w:ind w:right="20"/>
        <w:spacing w:after="0" w:line="26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Our ability to absorb credit losses is also bolstered by (i) $108.4 million of loss coverage from the credit-linked notes, pursuant to which the bank sold the first 5% of any losses on $2.2 billion of single-family residential mortgage loans in our portfolio; and (ii) unearned credit marks of $15.9 million on approximately $1.3 billion of purchased loans without credit deterioration. When the loss coverage from the credit-linked notes and unearned credit marks is added to our allowance for credit losses, this provides additional economic coverage on top of our ACL ratio. We refer to this adjusted ACL ratio as our economic coverage ratio</w:t>
      </w:r>
      <w:r>
        <w:rPr>
          <w:rFonts w:ascii="Arial" w:cs="Arial" w:eastAsia="Arial" w:hAnsi="Arial"/>
          <w:sz w:val="15"/>
          <w:szCs w:val="15"/>
          <w:color w:val="auto"/>
          <w:vertAlign w:val="superscript"/>
        </w:rPr>
        <w:t>(1)</w:t>
      </w:r>
      <w:r>
        <w:rPr>
          <w:rFonts w:ascii="Arial" w:cs="Arial" w:eastAsia="Arial" w:hAnsi="Arial"/>
          <w:sz w:val="12"/>
          <w:szCs w:val="12"/>
          <w:color w:val="auto"/>
        </w:rPr>
        <w:t>, which equaled 1.62% of total loans and leases at December 31, 2025 compared to 1.65% at September 30, 2025.</w:t>
      </w:r>
    </w:p>
    <w:p>
      <w:pPr>
        <w:spacing w:after="0"/>
        <w:rPr>
          <w:sz w:val="20"/>
          <w:szCs w:val="20"/>
          <w:color w:val="auto"/>
        </w:rPr>
      </w:pPr>
      <w:r>
        <w:rPr>
          <w:rFonts w:ascii="Arial" w:cs="Arial" w:eastAsia="Arial" w:hAnsi="Arial"/>
          <w:sz w:val="12"/>
          <w:szCs w:val="12"/>
          <w:color w:val="auto"/>
        </w:rPr>
        <w:t>The ACL coverage of nonperforming loans and leases was 176% at December 31, 2025 compared to 155% at September 30, 2025.</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Net charge-offs were 0.04% of average loans and leases (annualized) for the fourth quarter, compared to net recoveries of 0.04% for the third quarter.</w:t>
      </w:r>
    </w:p>
    <w:p>
      <w:pPr>
        <w:spacing w:after="0" w:line="86" w:lineRule="exact"/>
        <w:rPr>
          <w:sz w:val="20"/>
          <w:szCs w:val="20"/>
          <w:color w:val="auto"/>
        </w:rPr>
      </w:pPr>
    </w:p>
    <w:p>
      <w:pPr>
        <w:spacing w:after="0"/>
        <w:rPr>
          <w:sz w:val="20"/>
          <w:szCs w:val="20"/>
          <w:color w:val="auto"/>
        </w:rPr>
      </w:pPr>
      <w:r>
        <w:rPr>
          <w:rFonts w:ascii="Arial" w:cs="Arial" w:eastAsia="Arial" w:hAnsi="Arial"/>
          <w:sz w:val="10"/>
          <w:szCs w:val="10"/>
          <w:i w:val="1"/>
          <w:iCs w:val="1"/>
          <w:color w:val="6D6D6D"/>
        </w:rPr>
        <w:t>(1) Non-GAAP measure; refer to section 'Non-GAAP Measures'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1B2C"/>
        </w:rPr>
        <w:t>Deposits and Client Investment Funds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001B2C"/>
        </w:rPr>
        <w:t>The following table sets forth the composition of our deposits at the dates indicated:</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June 30,</w:t>
            </w:r>
          </w:p>
        </w:tc>
        <w:tc>
          <w:tcPr>
            <w:tcW w:w="280" w:type="dxa"/>
            <w:vAlign w:val="bottom"/>
          </w:tcPr>
          <w:p>
            <w:pPr>
              <w:spacing w:after="0"/>
              <w:rPr>
                <w:sz w:val="11"/>
                <w:szCs w:val="11"/>
                <w:color w:val="auto"/>
              </w:rPr>
            </w:pPr>
          </w:p>
        </w:tc>
        <w:tc>
          <w:tcPr>
            <w:tcW w:w="1300" w:type="dxa"/>
            <w:vAlign w:val="bottom"/>
            <w:gridSpan w:val="2"/>
          </w:tcPr>
          <w:p>
            <w:pPr>
              <w:ind w:left="240"/>
              <w:spacing w:after="0"/>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11"/>
                <w:szCs w:val="11"/>
                <w:color w:val="auto"/>
              </w:rPr>
            </w:pPr>
          </w:p>
        </w:tc>
        <w:tc>
          <w:tcPr>
            <w:tcW w:w="1260" w:type="dxa"/>
            <w:vAlign w:val="bottom"/>
          </w:tcPr>
          <w:p>
            <w:pPr>
              <w:jc w:val="right"/>
              <w:ind w:right="392"/>
              <w:spacing w:after="0"/>
              <w:rPr>
                <w:sz w:val="20"/>
                <w:szCs w:val="20"/>
                <w:color w:val="auto"/>
              </w:rPr>
            </w:pPr>
            <w:r>
              <w:rPr>
                <w:rFonts w:ascii="Arial" w:cs="Arial" w:eastAsia="Arial" w:hAnsi="Arial"/>
                <w:sz w:val="10"/>
                <w:szCs w:val="10"/>
                <w:b w:val="1"/>
                <w:bCs w:val="1"/>
                <w:color w:val="auto"/>
              </w:rPr>
              <w:t>December 31,</w:t>
            </w:r>
          </w:p>
        </w:tc>
      </w:tr>
      <w:tr>
        <w:trPr>
          <w:trHeight w:val="136"/>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8"/>
              </w:rPr>
              <w:t>2025</w:t>
            </w: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2024</w:t>
            </w:r>
          </w:p>
        </w:tc>
      </w:tr>
      <w:tr>
        <w:trPr>
          <w:trHeight w:val="123"/>
        </w:trPr>
        <w:tc>
          <w:tcPr>
            <w:tcW w:w="11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0"/>
                <w:szCs w:val="10"/>
                <w:b w:val="1"/>
                <w:bCs w:val="1"/>
                <w:i w:val="1"/>
                <w:iCs w:val="1"/>
                <w:color w:val="auto"/>
                <w:w w:val="96"/>
              </w:rPr>
              <w:t>(Dollars in thousands)</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10"/>
        </w:trPr>
        <w:tc>
          <w:tcPr>
            <w:tcW w:w="338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Composition of Deposits</w:t>
            </w: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36"/>
        </w:trPr>
        <w:tc>
          <w:tcPr>
            <w:tcW w:w="3380" w:type="dxa"/>
            <w:vAlign w:val="bottom"/>
            <w:gridSpan w:val="2"/>
          </w:tcPr>
          <w:p>
            <w:pPr>
              <w:ind w:left="100"/>
              <w:spacing w:after="0"/>
              <w:rPr>
                <w:sz w:val="20"/>
                <w:szCs w:val="20"/>
                <w:color w:val="auto"/>
              </w:rPr>
            </w:pPr>
            <w:r>
              <w:rPr>
                <w:rFonts w:ascii="Arial" w:cs="Arial" w:eastAsia="Arial" w:hAnsi="Arial"/>
                <w:sz w:val="10"/>
                <w:szCs w:val="10"/>
                <w:color w:val="auto"/>
              </w:rPr>
              <w:t>Noninterest-bearing checking</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7,822,787</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7,603,748</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7,441,116</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7,593,950</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7,719,913</w:t>
            </w:r>
          </w:p>
        </w:tc>
      </w:tr>
      <w:tr>
        <w:trPr>
          <w:trHeight w:val="115"/>
        </w:trPr>
        <w:tc>
          <w:tcPr>
            <w:tcW w:w="3380" w:type="dxa"/>
            <w:vAlign w:val="bottom"/>
            <w:gridSpan w:val="2"/>
          </w:tcPr>
          <w:p>
            <w:pPr>
              <w:ind w:left="100"/>
              <w:spacing w:after="0"/>
              <w:rPr>
                <w:sz w:val="20"/>
                <w:szCs w:val="20"/>
                <w:color w:val="auto"/>
              </w:rPr>
            </w:pPr>
            <w:r>
              <w:rPr>
                <w:rFonts w:ascii="Arial" w:cs="Arial" w:eastAsia="Arial" w:hAnsi="Arial"/>
                <w:sz w:val="10"/>
                <w:szCs w:val="10"/>
                <w:color w:val="auto"/>
              </w:rPr>
              <w:t>Interest-bearing:</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35"/>
        </w:trPr>
        <w:tc>
          <w:tcPr>
            <w:tcW w:w="3380" w:type="dxa"/>
            <w:vAlign w:val="bottom"/>
            <w:gridSpan w:val="2"/>
          </w:tcPr>
          <w:p>
            <w:pPr>
              <w:ind w:left="160"/>
              <w:spacing w:after="0"/>
              <w:rPr>
                <w:sz w:val="20"/>
                <w:szCs w:val="20"/>
                <w:color w:val="auto"/>
              </w:rPr>
            </w:pPr>
            <w:r>
              <w:rPr>
                <w:rFonts w:ascii="Arial" w:cs="Arial" w:eastAsia="Arial" w:hAnsi="Arial"/>
                <w:sz w:val="10"/>
                <w:szCs w:val="10"/>
                <w:color w:val="auto"/>
              </w:rPr>
              <w:t>Checking</w:t>
            </w: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8,509,587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7,930,951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7,974,452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7,747,051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7,610,705</w:t>
            </w:r>
          </w:p>
        </w:tc>
      </w:tr>
      <w:tr>
        <w:trPr>
          <w:trHeight w:val="135"/>
        </w:trPr>
        <w:tc>
          <w:tcPr>
            <w:tcW w:w="3380" w:type="dxa"/>
            <w:vAlign w:val="bottom"/>
            <w:gridSpan w:val="2"/>
          </w:tcPr>
          <w:p>
            <w:pPr>
              <w:ind w:left="160"/>
              <w:spacing w:after="0"/>
              <w:rPr>
                <w:sz w:val="20"/>
                <w:szCs w:val="20"/>
                <w:color w:val="auto"/>
              </w:rPr>
            </w:pPr>
            <w:r>
              <w:rPr>
                <w:rFonts w:ascii="Arial" w:cs="Arial" w:eastAsia="Arial" w:hAnsi="Arial"/>
                <w:sz w:val="10"/>
                <w:szCs w:val="10"/>
                <w:color w:val="auto"/>
              </w:rPr>
              <w:t>Money market</w:t>
            </w: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4,917,857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4,974,177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5,375,080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5,367,788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5,361,635</w:t>
            </w:r>
          </w:p>
        </w:tc>
      </w:tr>
      <w:tr>
        <w:trPr>
          <w:trHeight w:val="135"/>
        </w:trPr>
        <w:tc>
          <w:tcPr>
            <w:tcW w:w="3380" w:type="dxa"/>
            <w:vAlign w:val="bottom"/>
            <w:gridSpan w:val="2"/>
          </w:tcPr>
          <w:p>
            <w:pPr>
              <w:ind w:left="160"/>
              <w:spacing w:after="0"/>
              <w:rPr>
                <w:sz w:val="20"/>
                <w:szCs w:val="20"/>
                <w:color w:val="auto"/>
              </w:rPr>
            </w:pPr>
            <w:r>
              <w:rPr>
                <w:rFonts w:ascii="Arial" w:cs="Arial" w:eastAsia="Arial" w:hAnsi="Arial"/>
                <w:sz w:val="10"/>
                <w:szCs w:val="10"/>
                <w:color w:val="auto"/>
              </w:rPr>
              <w:t>Savings</w:t>
            </w: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1,905,863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1,949,369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1,932,906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1,999,062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1,933,232</w:t>
            </w:r>
          </w:p>
        </w:tc>
      </w:tr>
      <w:tr>
        <w:trPr>
          <w:trHeight w:val="135"/>
        </w:trPr>
        <w:tc>
          <w:tcPr>
            <w:tcW w:w="3380" w:type="dxa"/>
            <w:vAlign w:val="bottom"/>
            <w:gridSpan w:val="2"/>
          </w:tcPr>
          <w:p>
            <w:pPr>
              <w:ind w:left="160"/>
              <w:spacing w:after="0"/>
              <w:rPr>
                <w:sz w:val="20"/>
                <w:szCs w:val="20"/>
                <w:color w:val="auto"/>
              </w:rPr>
            </w:pPr>
            <w:r>
              <w:rPr>
                <w:rFonts w:ascii="Arial" w:cs="Arial" w:eastAsia="Arial" w:hAnsi="Arial"/>
                <w:sz w:val="10"/>
                <w:szCs w:val="10"/>
                <w:color w:val="auto"/>
              </w:rPr>
              <w:t>Time deposits: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5"/>
        </w:trPr>
        <w:tc>
          <w:tcPr>
            <w:tcW w:w="3380" w:type="dxa"/>
            <w:vAlign w:val="bottom"/>
            <w:gridSpan w:val="2"/>
          </w:tcPr>
          <w:p>
            <w:pPr>
              <w:ind w:left="240"/>
              <w:spacing w:after="0"/>
              <w:rPr>
                <w:sz w:val="20"/>
                <w:szCs w:val="20"/>
                <w:color w:val="auto"/>
              </w:rPr>
            </w:pPr>
            <w:r>
              <w:rPr>
                <w:rFonts w:ascii="Arial" w:cs="Arial" w:eastAsia="Arial" w:hAnsi="Arial"/>
                <w:sz w:val="10"/>
                <w:szCs w:val="10"/>
                <w:color w:val="auto"/>
              </w:rPr>
              <w:t>Non-brokered</w:t>
            </w: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2,254,293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2,468,017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2,492,890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2,490,639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2,488,217</w:t>
            </w:r>
          </w:p>
        </w:tc>
      </w:tr>
      <w:tr>
        <w:trPr>
          <w:trHeight w:val="135"/>
        </w:trPr>
        <w:tc>
          <w:tcPr>
            <w:tcW w:w="3380" w:type="dxa"/>
            <w:vAlign w:val="bottom"/>
            <w:gridSpan w:val="2"/>
          </w:tcPr>
          <w:p>
            <w:pPr>
              <w:ind w:left="240"/>
              <w:spacing w:after="0"/>
              <w:rPr>
                <w:sz w:val="20"/>
                <w:szCs w:val="20"/>
                <w:color w:val="auto"/>
              </w:rPr>
            </w:pPr>
            <w:r>
              <w:rPr>
                <w:rFonts w:ascii="Arial" w:cs="Arial" w:eastAsia="Arial" w:hAnsi="Arial"/>
                <w:sz w:val="10"/>
                <w:szCs w:val="10"/>
                <w:color w:val="auto"/>
              </w:rPr>
              <w:t>Brokered</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2,432,970</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2,258,503</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2,311,989</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1,994,701</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2,078,207</w:t>
            </w:r>
          </w:p>
        </w:tc>
      </w:tr>
      <w:tr>
        <w:trPr>
          <w:trHeight w:val="124"/>
        </w:trPr>
        <w:tc>
          <w:tcPr>
            <w:tcW w:w="3380" w:type="dxa"/>
            <w:vAlign w:val="bottom"/>
            <w:gridSpan w:val="2"/>
          </w:tcPr>
          <w:p>
            <w:pPr>
              <w:ind w:left="300"/>
              <w:spacing w:after="0"/>
              <w:rPr>
                <w:sz w:val="20"/>
                <w:szCs w:val="20"/>
                <w:color w:val="auto"/>
              </w:rPr>
            </w:pPr>
            <w:r>
              <w:rPr>
                <w:rFonts w:ascii="Arial" w:cs="Arial" w:eastAsia="Arial" w:hAnsi="Arial"/>
                <w:sz w:val="10"/>
                <w:szCs w:val="10"/>
                <w:color w:val="auto"/>
              </w:rPr>
              <w:t>Total time deposits</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4,687,263</w:t>
            </w: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4,726,520</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4,804,879</w:t>
            </w: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4,485,340</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4,566,424</w:t>
            </w:r>
          </w:p>
        </w:tc>
      </w:tr>
      <w:tr>
        <w:trPr>
          <w:trHeight w:val="127"/>
        </w:trPr>
        <w:tc>
          <w:tcPr>
            <w:tcW w:w="3380" w:type="dxa"/>
            <w:vAlign w:val="bottom"/>
            <w:gridSpan w:val="2"/>
          </w:tcPr>
          <w:p>
            <w:pPr>
              <w:ind w:left="360"/>
              <w:spacing w:after="0"/>
              <w:rPr>
                <w:sz w:val="20"/>
                <w:szCs w:val="20"/>
                <w:color w:val="auto"/>
              </w:rPr>
            </w:pPr>
            <w:r>
              <w:rPr>
                <w:rFonts w:ascii="Arial" w:cs="Arial" w:eastAsia="Arial" w:hAnsi="Arial"/>
                <w:sz w:val="10"/>
                <w:szCs w:val="10"/>
                <w:color w:val="auto"/>
              </w:rPr>
              <w:t>Total interest-bearing</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20,020,570</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19,581,017</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20,087,317</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19,599,241</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19,471,996</w:t>
            </w:r>
          </w:p>
        </w:tc>
      </w:tr>
      <w:tr>
        <w:trPr>
          <w:trHeight w:val="127"/>
        </w:trPr>
        <w:tc>
          <w:tcPr>
            <w:tcW w:w="3380" w:type="dxa"/>
            <w:vAlign w:val="bottom"/>
            <w:gridSpan w:val="2"/>
          </w:tcPr>
          <w:p>
            <w:pPr>
              <w:ind w:left="440"/>
              <w:spacing w:after="0"/>
              <w:rPr>
                <w:sz w:val="20"/>
                <w:szCs w:val="20"/>
                <w:color w:val="auto"/>
              </w:rPr>
            </w:pPr>
            <w:r>
              <w:rPr>
                <w:rFonts w:ascii="Arial" w:cs="Arial" w:eastAsia="Arial" w:hAnsi="Arial"/>
                <w:sz w:val="10"/>
                <w:szCs w:val="10"/>
                <w:color w:val="auto"/>
              </w:rPr>
              <w:t>Total deposits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27,843,357</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27,184,765</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27,528,433</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27,193,191</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27,191,909</w:t>
            </w:r>
          </w:p>
        </w:tc>
      </w:tr>
      <w:tr>
        <w:trPr>
          <w:trHeight w:val="20"/>
        </w:trPr>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1740" w:type="dxa"/>
            <w:vAlign w:val="bottom"/>
            <w:gridSpan w:val="2"/>
          </w:tcPr>
          <w:p>
            <w:pPr>
              <w:spacing w:after="0"/>
              <w:rPr>
                <w:sz w:val="20"/>
                <w:szCs w:val="20"/>
                <w:color w:val="auto"/>
              </w:rPr>
            </w:pPr>
            <w:r>
              <w:rPr>
                <w:rFonts w:ascii="Arial" w:cs="Arial" w:eastAsia="Arial" w:hAnsi="Arial"/>
                <w:sz w:val="10"/>
                <w:szCs w:val="10"/>
                <w:b w:val="1"/>
                <w:bCs w:val="1"/>
                <w:color w:val="auto"/>
              </w:rPr>
              <w:t>Composition as % of</w:t>
            </w:r>
          </w:p>
        </w:tc>
        <w:tc>
          <w:tcPr>
            <w:tcW w:w="1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74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Total Deposits</w:t>
            </w:r>
          </w:p>
        </w:tc>
        <w:tc>
          <w:tcPr>
            <w:tcW w:w="1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740" w:type="dxa"/>
            <w:vAlign w:val="bottom"/>
            <w:gridSpan w:val="2"/>
          </w:tcPr>
          <w:p>
            <w:pPr>
              <w:jc w:val="center"/>
              <w:ind w:right="300"/>
              <w:spacing w:after="0"/>
              <w:rPr>
                <w:sz w:val="20"/>
                <w:szCs w:val="20"/>
                <w:color w:val="auto"/>
              </w:rPr>
            </w:pPr>
            <w:r>
              <w:rPr>
                <w:rFonts w:ascii="Arial" w:cs="Arial" w:eastAsia="Arial" w:hAnsi="Arial"/>
                <w:sz w:val="10"/>
                <w:szCs w:val="10"/>
                <w:color w:val="auto"/>
                <w:w w:val="95"/>
              </w:rPr>
              <w:t>Noninterest-bearing checking</w:t>
            </w:r>
          </w:p>
        </w:tc>
        <w:tc>
          <w:tcPr>
            <w:tcW w:w="3140" w:type="dxa"/>
            <w:vAlign w:val="bottom"/>
            <w:gridSpan w:val="2"/>
          </w:tcPr>
          <w:p>
            <w:pPr>
              <w:jc w:val="right"/>
              <w:spacing w:after="0"/>
              <w:rPr>
                <w:sz w:val="20"/>
                <w:szCs w:val="20"/>
                <w:color w:val="auto"/>
              </w:rPr>
            </w:pPr>
            <w:r>
              <w:rPr>
                <w:rFonts w:ascii="Arial" w:cs="Arial" w:eastAsia="Arial" w:hAnsi="Arial"/>
                <w:sz w:val="10"/>
                <w:szCs w:val="10"/>
                <w:color w:val="auto"/>
              </w:rPr>
              <w:t>28 %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28 %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27 %</w:t>
            </w:r>
          </w:p>
        </w:tc>
        <w:tc>
          <w:tcPr>
            <w:tcW w:w="1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28 %</w:t>
            </w:r>
          </w:p>
        </w:tc>
        <w:tc>
          <w:tcPr>
            <w:tcW w:w="10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28 %</w:t>
            </w:r>
          </w:p>
        </w:tc>
        <w:tc>
          <w:tcPr>
            <w:tcW w:w="0" w:type="dxa"/>
            <w:vAlign w:val="bottom"/>
          </w:tcPr>
          <w:p>
            <w:pPr>
              <w:spacing w:after="0"/>
              <w:rPr>
                <w:sz w:val="1"/>
                <w:szCs w:val="1"/>
                <w:color w:val="auto"/>
              </w:rPr>
            </w:pPr>
          </w:p>
        </w:tc>
      </w:tr>
      <w:tr>
        <w:trPr>
          <w:trHeight w:val="115"/>
        </w:trPr>
        <w:tc>
          <w:tcPr>
            <w:tcW w:w="1740" w:type="dxa"/>
            <w:vAlign w:val="bottom"/>
            <w:gridSpan w:val="2"/>
          </w:tcPr>
          <w:p>
            <w:pPr>
              <w:ind w:left="100"/>
              <w:spacing w:after="0"/>
              <w:rPr>
                <w:sz w:val="20"/>
                <w:szCs w:val="20"/>
                <w:color w:val="auto"/>
              </w:rPr>
            </w:pPr>
            <w:r>
              <w:rPr>
                <w:rFonts w:ascii="Arial" w:cs="Arial" w:eastAsia="Arial" w:hAnsi="Arial"/>
                <w:sz w:val="10"/>
                <w:szCs w:val="10"/>
                <w:color w:val="auto"/>
              </w:rPr>
              <w:t>Interest-bearing:</w:t>
            </w:r>
          </w:p>
        </w:tc>
        <w:tc>
          <w:tcPr>
            <w:tcW w:w="164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160"/>
              <w:spacing w:after="0"/>
              <w:rPr>
                <w:sz w:val="20"/>
                <w:szCs w:val="20"/>
                <w:color w:val="auto"/>
              </w:rPr>
            </w:pPr>
            <w:r>
              <w:rPr>
                <w:rFonts w:ascii="Arial" w:cs="Arial" w:eastAsia="Arial" w:hAnsi="Arial"/>
                <w:sz w:val="10"/>
                <w:szCs w:val="10"/>
                <w:color w:val="auto"/>
              </w:rPr>
              <w:t>Checking</w:t>
            </w:r>
          </w:p>
        </w:tc>
        <w:tc>
          <w:tcPr>
            <w:tcW w:w="3140" w:type="dxa"/>
            <w:vAlign w:val="bottom"/>
            <w:gridSpan w:val="2"/>
          </w:tcPr>
          <w:p>
            <w:pPr>
              <w:jc w:val="right"/>
              <w:spacing w:after="0"/>
              <w:rPr>
                <w:sz w:val="20"/>
                <w:szCs w:val="20"/>
                <w:color w:val="auto"/>
              </w:rPr>
            </w:pPr>
            <w:r>
              <w:rPr>
                <w:rFonts w:ascii="Arial" w:cs="Arial" w:eastAsia="Arial" w:hAnsi="Arial"/>
                <w:sz w:val="10"/>
                <w:szCs w:val="10"/>
                <w:color w:val="auto"/>
              </w:rPr>
              <w:t>30 %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29 %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29 %</w:t>
            </w:r>
          </w:p>
        </w:tc>
        <w:tc>
          <w:tcPr>
            <w:tcW w:w="1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29 %</w:t>
            </w:r>
          </w:p>
        </w:tc>
        <w:tc>
          <w:tcPr>
            <w:tcW w:w="10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28 %</w:t>
            </w:r>
          </w:p>
        </w:tc>
        <w:tc>
          <w:tcPr>
            <w:tcW w:w="0" w:type="dxa"/>
            <w:vAlign w:val="bottom"/>
          </w:tcPr>
          <w:p>
            <w:pPr>
              <w:spacing w:after="0"/>
              <w:rPr>
                <w:sz w:val="1"/>
                <w:szCs w:val="1"/>
                <w:color w:val="auto"/>
              </w:rPr>
            </w:pPr>
          </w:p>
        </w:tc>
      </w:tr>
      <w:tr>
        <w:trPr>
          <w:trHeight w:val="135"/>
        </w:trPr>
        <w:tc>
          <w:tcPr>
            <w:tcW w:w="1740" w:type="dxa"/>
            <w:vAlign w:val="bottom"/>
            <w:gridSpan w:val="2"/>
          </w:tcPr>
          <w:p>
            <w:pPr>
              <w:ind w:left="160"/>
              <w:spacing w:after="0"/>
              <w:rPr>
                <w:sz w:val="20"/>
                <w:szCs w:val="20"/>
                <w:color w:val="auto"/>
              </w:rPr>
            </w:pPr>
            <w:r>
              <w:rPr>
                <w:rFonts w:ascii="Arial" w:cs="Arial" w:eastAsia="Arial" w:hAnsi="Arial"/>
                <w:sz w:val="10"/>
                <w:szCs w:val="10"/>
                <w:color w:val="auto"/>
              </w:rPr>
              <w:t>Money market</w:t>
            </w:r>
          </w:p>
        </w:tc>
        <w:tc>
          <w:tcPr>
            <w:tcW w:w="3140" w:type="dxa"/>
            <w:vAlign w:val="bottom"/>
            <w:gridSpan w:val="2"/>
          </w:tcPr>
          <w:p>
            <w:pPr>
              <w:jc w:val="right"/>
              <w:spacing w:after="0"/>
              <w:rPr>
                <w:sz w:val="20"/>
                <w:szCs w:val="20"/>
                <w:color w:val="auto"/>
              </w:rPr>
            </w:pPr>
            <w:r>
              <w:rPr>
                <w:rFonts w:ascii="Arial" w:cs="Arial" w:eastAsia="Arial" w:hAnsi="Arial"/>
                <w:sz w:val="10"/>
                <w:szCs w:val="10"/>
                <w:color w:val="auto"/>
              </w:rPr>
              <w:t>18 %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19 %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20 %</w:t>
            </w:r>
          </w:p>
        </w:tc>
        <w:tc>
          <w:tcPr>
            <w:tcW w:w="1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20 %</w:t>
            </w:r>
          </w:p>
        </w:tc>
        <w:tc>
          <w:tcPr>
            <w:tcW w:w="10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20 %</w:t>
            </w:r>
          </w:p>
        </w:tc>
        <w:tc>
          <w:tcPr>
            <w:tcW w:w="0" w:type="dxa"/>
            <w:vAlign w:val="bottom"/>
          </w:tcPr>
          <w:p>
            <w:pPr>
              <w:spacing w:after="0"/>
              <w:rPr>
                <w:sz w:val="1"/>
                <w:szCs w:val="1"/>
                <w:color w:val="auto"/>
              </w:rPr>
            </w:pPr>
          </w:p>
        </w:tc>
      </w:tr>
      <w:tr>
        <w:trPr>
          <w:trHeight w:val="135"/>
        </w:trPr>
        <w:tc>
          <w:tcPr>
            <w:tcW w:w="1740" w:type="dxa"/>
            <w:vAlign w:val="bottom"/>
            <w:gridSpan w:val="2"/>
          </w:tcPr>
          <w:p>
            <w:pPr>
              <w:ind w:left="160"/>
              <w:spacing w:after="0"/>
              <w:rPr>
                <w:sz w:val="20"/>
                <w:szCs w:val="20"/>
                <w:color w:val="auto"/>
              </w:rPr>
            </w:pPr>
            <w:r>
              <w:rPr>
                <w:rFonts w:ascii="Arial" w:cs="Arial" w:eastAsia="Arial" w:hAnsi="Arial"/>
                <w:sz w:val="10"/>
                <w:szCs w:val="10"/>
                <w:color w:val="auto"/>
              </w:rPr>
              <w:t>Savings</w:t>
            </w:r>
          </w:p>
        </w:tc>
        <w:tc>
          <w:tcPr>
            <w:tcW w:w="3140" w:type="dxa"/>
            <w:vAlign w:val="bottom"/>
            <w:gridSpan w:val="2"/>
          </w:tcPr>
          <w:p>
            <w:pPr>
              <w:jc w:val="right"/>
              <w:spacing w:after="0"/>
              <w:rPr>
                <w:sz w:val="20"/>
                <w:szCs w:val="20"/>
                <w:color w:val="auto"/>
              </w:rPr>
            </w:pPr>
            <w:r>
              <w:rPr>
                <w:rFonts w:ascii="Arial" w:cs="Arial" w:eastAsia="Arial" w:hAnsi="Arial"/>
                <w:sz w:val="10"/>
                <w:szCs w:val="10"/>
                <w:color w:val="auto"/>
              </w:rPr>
              <w:t>7 %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7 %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7 %</w:t>
            </w:r>
          </w:p>
        </w:tc>
        <w:tc>
          <w:tcPr>
            <w:tcW w:w="1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7 %</w:t>
            </w:r>
          </w:p>
        </w:tc>
        <w:tc>
          <w:tcPr>
            <w:tcW w:w="10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35"/>
        </w:trPr>
        <w:tc>
          <w:tcPr>
            <w:tcW w:w="1740" w:type="dxa"/>
            <w:vAlign w:val="bottom"/>
            <w:gridSpan w:val="2"/>
          </w:tcPr>
          <w:p>
            <w:pPr>
              <w:ind w:left="160"/>
              <w:spacing w:after="0"/>
              <w:rPr>
                <w:sz w:val="20"/>
                <w:szCs w:val="20"/>
                <w:color w:val="auto"/>
              </w:rPr>
            </w:pPr>
            <w:r>
              <w:rPr>
                <w:rFonts w:ascii="Arial" w:cs="Arial" w:eastAsia="Arial" w:hAnsi="Arial"/>
                <w:sz w:val="10"/>
                <w:szCs w:val="10"/>
                <w:color w:val="auto"/>
              </w:rPr>
              <w:t>Time deposits:</w:t>
            </w:r>
          </w:p>
        </w:tc>
        <w:tc>
          <w:tcPr>
            <w:tcW w:w="1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40"/>
              <w:spacing w:after="0"/>
              <w:rPr>
                <w:sz w:val="20"/>
                <w:szCs w:val="20"/>
                <w:color w:val="auto"/>
              </w:rPr>
            </w:pPr>
            <w:r>
              <w:rPr>
                <w:rFonts w:ascii="Arial" w:cs="Arial" w:eastAsia="Arial" w:hAnsi="Arial"/>
                <w:sz w:val="10"/>
                <w:szCs w:val="10"/>
                <w:color w:val="auto"/>
              </w:rPr>
              <w:t>Non-brokered</w:t>
            </w:r>
          </w:p>
        </w:tc>
        <w:tc>
          <w:tcPr>
            <w:tcW w:w="3140" w:type="dxa"/>
            <w:vAlign w:val="bottom"/>
            <w:gridSpan w:val="2"/>
          </w:tcPr>
          <w:p>
            <w:pPr>
              <w:jc w:val="right"/>
              <w:spacing w:after="0"/>
              <w:rPr>
                <w:sz w:val="20"/>
                <w:szCs w:val="20"/>
                <w:color w:val="auto"/>
              </w:rPr>
            </w:pPr>
            <w:r>
              <w:rPr>
                <w:rFonts w:ascii="Arial" w:cs="Arial" w:eastAsia="Arial" w:hAnsi="Arial"/>
                <w:sz w:val="10"/>
                <w:szCs w:val="10"/>
                <w:color w:val="auto"/>
              </w:rPr>
              <w:t>8 %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9 %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9 %</w:t>
            </w:r>
          </w:p>
        </w:tc>
        <w:tc>
          <w:tcPr>
            <w:tcW w:w="1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9 %</w:t>
            </w:r>
          </w:p>
        </w:tc>
        <w:tc>
          <w:tcPr>
            <w:tcW w:w="10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35"/>
        </w:trPr>
        <w:tc>
          <w:tcPr>
            <w:tcW w:w="1740" w:type="dxa"/>
            <w:vAlign w:val="bottom"/>
            <w:gridSpan w:val="2"/>
          </w:tcPr>
          <w:p>
            <w:pPr>
              <w:ind w:left="240"/>
              <w:spacing w:after="0"/>
              <w:rPr>
                <w:sz w:val="20"/>
                <w:szCs w:val="20"/>
                <w:color w:val="auto"/>
              </w:rPr>
            </w:pPr>
            <w:r>
              <w:rPr>
                <w:rFonts w:ascii="Arial" w:cs="Arial" w:eastAsia="Arial" w:hAnsi="Arial"/>
                <w:sz w:val="10"/>
                <w:szCs w:val="10"/>
                <w:color w:val="auto"/>
              </w:rPr>
              <w:t>Brokered</w:t>
            </w:r>
          </w:p>
        </w:tc>
        <w:tc>
          <w:tcPr>
            <w:tcW w:w="1640" w:type="dxa"/>
            <w:vAlign w:val="bottom"/>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9 %</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8 %</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8 %</w:t>
            </w:r>
          </w:p>
        </w:tc>
        <w:tc>
          <w:tcPr>
            <w:tcW w:w="100" w:type="dxa"/>
            <w:vAlign w:val="bottom"/>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7 %</w:t>
            </w:r>
          </w:p>
        </w:tc>
        <w:tc>
          <w:tcPr>
            <w:tcW w:w="100" w:type="dxa"/>
            <w:vAlign w:val="bottom"/>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8 %</w:t>
            </w:r>
          </w:p>
        </w:tc>
        <w:tc>
          <w:tcPr>
            <w:tcW w:w="0" w:type="dxa"/>
            <w:vAlign w:val="bottom"/>
          </w:tcPr>
          <w:p>
            <w:pPr>
              <w:spacing w:after="0"/>
              <w:rPr>
                <w:sz w:val="1"/>
                <w:szCs w:val="1"/>
                <w:color w:val="auto"/>
              </w:rPr>
            </w:pPr>
          </w:p>
        </w:tc>
      </w:tr>
      <w:tr>
        <w:trPr>
          <w:trHeight w:val="124"/>
        </w:trPr>
        <w:tc>
          <w:tcPr>
            <w:tcW w:w="1740" w:type="dxa"/>
            <w:vAlign w:val="bottom"/>
            <w:gridSpan w:val="2"/>
          </w:tcPr>
          <w:p>
            <w:pPr>
              <w:jc w:val="center"/>
              <w:ind w:right="340"/>
              <w:spacing w:after="0"/>
              <w:rPr>
                <w:sz w:val="20"/>
                <w:szCs w:val="20"/>
                <w:color w:val="auto"/>
              </w:rPr>
            </w:pPr>
            <w:r>
              <w:rPr>
                <w:rFonts w:ascii="Arial" w:cs="Arial" w:eastAsia="Arial" w:hAnsi="Arial"/>
                <w:sz w:val="10"/>
                <w:szCs w:val="10"/>
                <w:color w:val="auto"/>
                <w:w w:val="95"/>
              </w:rPr>
              <w:t>Total time deposits</w:t>
            </w:r>
          </w:p>
        </w:tc>
        <w:tc>
          <w:tcPr>
            <w:tcW w:w="1640" w:type="dxa"/>
            <w:vAlign w:val="bottom"/>
          </w:tcPr>
          <w:p>
            <w:pPr>
              <w:spacing w:after="0"/>
              <w:rPr>
                <w:sz w:val="10"/>
                <w:szCs w:val="1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17 %</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17 %</w:t>
            </w:r>
          </w:p>
        </w:tc>
        <w:tc>
          <w:tcPr>
            <w:tcW w:w="80" w:type="dxa"/>
            <w:vAlign w:val="bottom"/>
          </w:tcPr>
          <w:p>
            <w:pPr>
              <w:spacing w:after="0"/>
              <w:rPr>
                <w:sz w:val="10"/>
                <w:szCs w:val="1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17 %</w:t>
            </w:r>
          </w:p>
        </w:tc>
        <w:tc>
          <w:tcPr>
            <w:tcW w:w="100" w:type="dxa"/>
            <w:vAlign w:val="bottom"/>
          </w:tcPr>
          <w:p>
            <w:pPr>
              <w:spacing w:after="0"/>
              <w:rPr>
                <w:sz w:val="10"/>
                <w:szCs w:val="1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16 %</w:t>
            </w:r>
          </w:p>
        </w:tc>
        <w:tc>
          <w:tcPr>
            <w:tcW w:w="100" w:type="dxa"/>
            <w:vAlign w:val="bottom"/>
          </w:tcPr>
          <w:p>
            <w:pPr>
              <w:spacing w:after="0"/>
              <w:rPr>
                <w:sz w:val="10"/>
                <w:szCs w:val="1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17 %</w:t>
            </w:r>
          </w:p>
        </w:tc>
        <w:tc>
          <w:tcPr>
            <w:tcW w:w="0" w:type="dxa"/>
            <w:vAlign w:val="bottom"/>
          </w:tcPr>
          <w:p>
            <w:pPr>
              <w:spacing w:after="0"/>
              <w:rPr>
                <w:sz w:val="1"/>
                <w:szCs w:val="1"/>
                <w:color w:val="auto"/>
              </w:rPr>
            </w:pPr>
          </w:p>
        </w:tc>
      </w:tr>
      <w:tr>
        <w:trPr>
          <w:trHeight w:val="127"/>
        </w:trPr>
        <w:tc>
          <w:tcPr>
            <w:tcW w:w="1740" w:type="dxa"/>
            <w:vAlign w:val="bottom"/>
            <w:gridSpan w:val="2"/>
          </w:tcPr>
          <w:p>
            <w:pPr>
              <w:ind w:left="360"/>
              <w:spacing w:after="0"/>
              <w:rPr>
                <w:sz w:val="20"/>
                <w:szCs w:val="20"/>
                <w:color w:val="auto"/>
              </w:rPr>
            </w:pPr>
            <w:r>
              <w:rPr>
                <w:rFonts w:ascii="Arial" w:cs="Arial" w:eastAsia="Arial" w:hAnsi="Arial"/>
                <w:sz w:val="10"/>
                <w:szCs w:val="10"/>
                <w:color w:val="auto"/>
              </w:rPr>
              <w:t>Total interest-bearing</w:t>
            </w:r>
          </w:p>
        </w:tc>
        <w:tc>
          <w:tcPr>
            <w:tcW w:w="1640" w:type="dxa"/>
            <w:vAlign w:val="bottom"/>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72 %</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72 %</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73 %</w:t>
            </w:r>
          </w:p>
        </w:tc>
        <w:tc>
          <w:tcPr>
            <w:tcW w:w="100" w:type="dxa"/>
            <w:vAlign w:val="bottom"/>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72 %</w:t>
            </w:r>
          </w:p>
        </w:tc>
        <w:tc>
          <w:tcPr>
            <w:tcW w:w="100" w:type="dxa"/>
            <w:vAlign w:val="bottom"/>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72 %</w:t>
            </w:r>
          </w:p>
        </w:tc>
        <w:tc>
          <w:tcPr>
            <w:tcW w:w="0" w:type="dxa"/>
            <w:vAlign w:val="bottom"/>
          </w:tcPr>
          <w:p>
            <w:pPr>
              <w:spacing w:after="0"/>
              <w:rPr>
                <w:sz w:val="1"/>
                <w:szCs w:val="1"/>
                <w:color w:val="auto"/>
              </w:rPr>
            </w:pPr>
          </w:p>
        </w:tc>
      </w:tr>
      <w:tr>
        <w:trPr>
          <w:trHeight w:val="127"/>
        </w:trPr>
        <w:tc>
          <w:tcPr>
            <w:tcW w:w="1740" w:type="dxa"/>
            <w:vAlign w:val="bottom"/>
            <w:gridSpan w:val="2"/>
          </w:tcPr>
          <w:p>
            <w:pPr>
              <w:jc w:val="center"/>
              <w:ind w:right="280"/>
              <w:spacing w:after="0"/>
              <w:rPr>
                <w:sz w:val="20"/>
                <w:szCs w:val="20"/>
                <w:color w:val="auto"/>
              </w:rPr>
            </w:pPr>
            <w:r>
              <w:rPr>
                <w:rFonts w:ascii="Arial" w:cs="Arial" w:eastAsia="Arial" w:hAnsi="Arial"/>
                <w:sz w:val="10"/>
                <w:szCs w:val="10"/>
                <w:color w:val="auto"/>
                <w:w w:val="93"/>
              </w:rPr>
              <w:t>Total deposits</w:t>
            </w:r>
          </w:p>
        </w:tc>
        <w:tc>
          <w:tcPr>
            <w:tcW w:w="3140" w:type="dxa"/>
            <w:vAlign w:val="bottom"/>
            <w:gridSpan w:val="2"/>
          </w:tcPr>
          <w:p>
            <w:pPr>
              <w:jc w:val="right"/>
              <w:spacing w:after="0"/>
              <w:rPr>
                <w:sz w:val="20"/>
                <w:szCs w:val="20"/>
                <w:color w:val="auto"/>
              </w:rPr>
            </w:pPr>
            <w:r>
              <w:rPr>
                <w:rFonts w:ascii="Arial" w:cs="Arial" w:eastAsia="Arial" w:hAnsi="Arial"/>
                <w:sz w:val="10"/>
                <w:szCs w:val="10"/>
                <w:color w:val="auto"/>
              </w:rPr>
              <w:t>100 %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100 %</w:t>
            </w:r>
          </w:p>
        </w:tc>
        <w:tc>
          <w:tcPr>
            <w:tcW w:w="8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100 %</w:t>
            </w:r>
          </w:p>
        </w:tc>
        <w:tc>
          <w:tcPr>
            <w:tcW w:w="1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100 %</w:t>
            </w:r>
          </w:p>
        </w:tc>
        <w:tc>
          <w:tcPr>
            <w:tcW w:w="10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vMerge w:val="restart"/>
          </w:tcPr>
          <w:p>
            <w:pPr>
              <w:jc w:val="right"/>
              <w:ind w:right="1112"/>
              <w:spacing w:after="0"/>
              <w:rPr>
                <w:sz w:val="20"/>
                <w:szCs w:val="20"/>
                <w:color w:val="auto"/>
              </w:rPr>
            </w:pPr>
            <w:r>
              <w:rPr>
                <w:rFonts w:ascii="Arial" w:cs="Arial" w:eastAsia="Arial" w:hAnsi="Arial"/>
                <w:sz w:val="10"/>
                <w:szCs w:val="10"/>
                <w:color w:val="001B2C"/>
              </w:rPr>
              <w:t>13</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8"/>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54864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ectPr>
          <w:pgSz w:w="11900" w:h="16838" w:orient="portrait"/>
          <w:cols w:equalWidth="0" w:num="1">
            <w:col w:w="11260"/>
          </w:cols>
          <w:pgMar w:left="300" w:top="874" w:right="339" w:bottom="1440" w:gutter="0" w:footer="0" w:header="0"/>
        </w:sectPr>
      </w:pPr>
    </w:p>
    <w:bookmarkStart w:id="17" w:name="page18"/>
    <w:bookmarkEnd w:id="17"/>
    <w:p>
      <w:pPr>
        <w:jc w:val="both"/>
        <w:ind w:right="4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Total deposits increased by $ 658.6 million to $27.8 billion at December 31, 2025 from $ 27.2 billion at September 30, 2025, driven by an increase in interest-bearing deposits of $439.6 million and an increase in noninterest-bearing deposits of $219.0 million. Interest-bearing deposits increased due mainly to higher balances in checking accounts of $578.6 million, offset partially by lower money market accounts of $56.3 million, lower savings accounts of $43.5 million, and lower brokered and non-brokered time deposits of $39.3 million.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2025, noninterest-bearing checking deposits totaled $7.8 billion, or 28% of total deposits, compared to $7.6 billion, or 28% of total deposits, at September 30, 2025.</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2025, uninsured and uncollateralized deposits totaled $7.7 billion, or 28% of total deposits, compared to $7.6 billion, or 28% of total deposits, at September 30, 2025.</w:t>
      </w:r>
    </w:p>
    <w:p>
      <w:pPr>
        <w:spacing w:after="0" w:line="78"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In addition to deposit products, we also offer alternative, non-depository corporate treasury solutions for select clients to invest excess liquidity. These off-balance sheet client funds totaled $1.2 billion as of December 31, 2025, compared to $1.1 billion as of September 30, 2025.</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Borrowings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Borrowings increased by $58.8 million to $2.1 billion at December 31, 2025 from $2.0 billion at September 30, 2025, mainly due to higher overnight and short-term borrowings.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w:t>
      </w:r>
    </w:p>
    <w:p>
      <w:pPr>
        <w:spacing w:after="0" w:line="94" w:lineRule="exact"/>
        <w:rPr>
          <w:sz w:val="20"/>
          <w:szCs w:val="20"/>
          <w:color w:val="auto"/>
        </w:rPr>
      </w:pPr>
    </w:p>
    <w:p>
      <w:pPr>
        <w:ind w:right="160"/>
        <w:spacing w:after="0" w:line="233" w:lineRule="auto"/>
        <w:rPr>
          <w:sz w:val="20"/>
          <w:szCs w:val="20"/>
          <w:color w:val="auto"/>
        </w:rPr>
      </w:pPr>
      <w:r>
        <w:rPr>
          <w:rFonts w:ascii="Arial" w:cs="Arial" w:eastAsia="Arial" w:hAnsi="Arial"/>
          <w:sz w:val="12"/>
          <w:szCs w:val="12"/>
          <w:color w:val="auto"/>
        </w:rPr>
        <w:t>During the fourth quarter, total stockholders’ equity increased by $74.5 million to $3.5 billion and tangible common equity</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increased by $81.2 million to $2.7 billion at December 31, 2025. The increase in total stockholders’ equity for the fourth quarter resulted primarily from net earnings of $77.4 million.</w:t>
      </w:r>
    </w:p>
    <w:p>
      <w:pPr>
        <w:spacing w:after="0" w:line="59" w:lineRule="exact"/>
        <w:rPr>
          <w:sz w:val="20"/>
          <w:szCs w:val="20"/>
          <w:color w:val="auto"/>
        </w:rPr>
      </w:pPr>
    </w:p>
    <w:p>
      <w:pPr>
        <w:ind w:right="40"/>
        <w:spacing w:after="0" w:line="233" w:lineRule="auto"/>
        <w:rPr>
          <w:sz w:val="20"/>
          <w:szCs w:val="20"/>
          <w:color w:val="auto"/>
        </w:rPr>
      </w:pPr>
      <w:r>
        <w:rPr>
          <w:rFonts w:ascii="Arial" w:cs="Arial" w:eastAsia="Arial" w:hAnsi="Arial"/>
          <w:sz w:val="12"/>
          <w:szCs w:val="12"/>
          <w:color w:val="auto"/>
        </w:rPr>
        <w:t>At December 31, 2025, book value per common share increased to $19.56 compared to $19.09 at September 30, 2025, and tangible book value per common share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increased to $17.51 compared to $16.99 at September 30, 2025.</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For the year ended December 31, 2025, repurchases of Company common and common equivalent stock under the Company's stock repurchase program totaled 13,648,429 shares at a weighted average price per share of $13.59, or $185.5 million in the aggregate. As of December 31, 2025, the Company had $114.5 million remaining under the current stock repurchase authorization.</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i w:val="1"/>
          <w:iCs w:val="1"/>
          <w:color w:val="6D6D6D"/>
        </w:rPr>
        <w:t>(1) Non-GAAP measure; refer to section 'Non-GAAP Measures'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6"/>
          <w:szCs w:val="6"/>
          <w:i w:val="1"/>
          <w:iCs w:val="1"/>
          <w:color w:val="001B2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54864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14</w:t>
      </w:r>
    </w:p>
    <w:p>
      <w:pPr>
        <w:sectPr>
          <w:pgSz w:w="11900" w:h="16838" w:orient="portrait"/>
          <w:cols w:equalWidth="0" w:num="1">
            <w:col w:w="11140"/>
          </w:cols>
          <w:pgMar w:left="300" w:top="874" w:right="45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CAPITAL AND LIQUIDITY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our regulatory capital ratios as of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20" w:type="dxa"/>
            <w:vAlign w:val="bottom"/>
          </w:tcPr>
          <w:p>
            <w:pPr>
              <w:ind w:left="400"/>
              <w:spacing w:after="0"/>
              <w:rPr>
                <w:sz w:val="20"/>
                <w:szCs w:val="20"/>
                <w:color w:val="auto"/>
              </w:rPr>
            </w:pPr>
            <w:r>
              <w:rPr>
                <w:rFonts w:ascii="Arial" w:cs="Arial" w:eastAsia="Arial" w:hAnsi="Arial"/>
                <w:sz w:val="10"/>
                <w:szCs w:val="10"/>
                <w:b w:val="1"/>
                <w:bCs w:val="1"/>
                <w:color w:val="auto"/>
                <w:w w:val="92"/>
              </w:rPr>
              <w:t>December 31,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332"/>
              <w:spacing w:after="0"/>
              <w:rPr>
                <w:sz w:val="20"/>
                <w:szCs w:val="20"/>
                <w:color w:val="auto"/>
              </w:rPr>
            </w:pPr>
            <w:r>
              <w:rPr>
                <w:rFonts w:ascii="Arial" w:cs="Arial" w:eastAsia="Arial" w:hAnsi="Arial"/>
                <w:sz w:val="10"/>
                <w:szCs w:val="10"/>
                <w:b w:val="1"/>
                <w:bCs w:val="1"/>
                <w:color w:val="auto"/>
                <w:w w:val="93"/>
              </w:rPr>
              <w:t>September 30,</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left="392"/>
              <w:spacing w:after="0"/>
              <w:rPr>
                <w:sz w:val="20"/>
                <w:szCs w:val="20"/>
                <w:color w:val="auto"/>
              </w:rPr>
            </w:pPr>
            <w:r>
              <w:rPr>
                <w:rFonts w:ascii="Arial" w:cs="Arial" w:eastAsia="Arial" w:hAnsi="Arial"/>
                <w:sz w:val="10"/>
                <w:szCs w:val="10"/>
                <w:b w:val="1"/>
                <w:bCs w:val="1"/>
                <w:color w:val="auto"/>
                <w:w w:val="94"/>
              </w:rPr>
              <w:t>June 30,</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ind w:left="480"/>
              <w:spacing w:after="0"/>
              <w:rPr>
                <w:sz w:val="20"/>
                <w:szCs w:val="20"/>
                <w:color w:val="auto"/>
              </w:rPr>
            </w:pPr>
            <w:r>
              <w:rPr>
                <w:rFonts w:ascii="Arial" w:cs="Arial" w:eastAsia="Arial" w:hAnsi="Arial"/>
                <w:sz w:val="10"/>
                <w:szCs w:val="10"/>
                <w:b w:val="1"/>
                <w:bCs w:val="1"/>
                <w:color w:val="auto"/>
              </w:rPr>
              <w:t>March 31,</w:t>
            </w:r>
          </w:p>
        </w:tc>
        <w:tc>
          <w:tcPr>
            <w:tcW w:w="1380" w:type="dxa"/>
            <w:vAlign w:val="bottom"/>
          </w:tcPr>
          <w:p>
            <w:pPr>
              <w:jc w:val="right"/>
              <w:ind w:right="332"/>
              <w:spacing w:after="0"/>
              <w:rPr>
                <w:sz w:val="20"/>
                <w:szCs w:val="20"/>
                <w:color w:val="auto"/>
              </w:rPr>
            </w:pPr>
            <w:r>
              <w:rPr>
                <w:rFonts w:ascii="Arial" w:cs="Arial" w:eastAsia="Arial" w:hAnsi="Arial"/>
                <w:sz w:val="10"/>
                <w:szCs w:val="10"/>
                <w:b w:val="1"/>
                <w:bCs w:val="1"/>
                <w:color w:val="auto"/>
              </w:rPr>
              <w:t>December 31,</w:t>
            </w:r>
          </w:p>
        </w:tc>
      </w:tr>
      <w:tr>
        <w:trPr>
          <w:trHeight w:val="135"/>
        </w:trPr>
        <w:tc>
          <w:tcPr>
            <w:tcW w:w="4980" w:type="dxa"/>
            <w:vAlign w:val="bottom"/>
            <w:gridSpan w:val="3"/>
          </w:tcPr>
          <w:p>
            <w:pPr>
              <w:ind w:left="4560"/>
              <w:spacing w:after="0"/>
              <w:rPr>
                <w:sz w:val="20"/>
                <w:szCs w:val="20"/>
                <w:color w:val="auto"/>
              </w:rPr>
            </w:pPr>
            <w:r>
              <w:rPr>
                <w:rFonts w:ascii="Arial" w:cs="Arial" w:eastAsia="Arial" w:hAnsi="Arial"/>
                <w:sz w:val="10"/>
                <w:szCs w:val="10"/>
                <w:b w:val="1"/>
                <w:bCs w:val="1"/>
                <w:color w:val="auto"/>
              </w:rPr>
              <w:t>2025</w:t>
            </w:r>
          </w:p>
        </w:tc>
        <w:tc>
          <w:tcPr>
            <w:tcW w:w="1480" w:type="dxa"/>
            <w:vAlign w:val="bottom"/>
            <w:gridSpan w:val="3"/>
          </w:tcPr>
          <w:p>
            <w:pPr>
              <w:jc w:val="right"/>
              <w:ind w:right="172"/>
              <w:spacing w:after="0"/>
              <w:rPr>
                <w:sz w:val="20"/>
                <w:szCs w:val="20"/>
                <w:color w:val="auto"/>
              </w:rPr>
            </w:pPr>
            <w:r>
              <w:rPr>
                <w:rFonts w:ascii="Arial" w:cs="Arial" w:eastAsia="Arial" w:hAnsi="Arial"/>
                <w:sz w:val="10"/>
                <w:szCs w:val="10"/>
                <w:b w:val="1"/>
                <w:bCs w:val="1"/>
                <w:color w:val="auto"/>
              </w:rPr>
              <w:t>2025</w:t>
            </w:r>
          </w:p>
        </w:tc>
        <w:tc>
          <w:tcPr>
            <w:tcW w:w="1400" w:type="dxa"/>
            <w:vAlign w:val="bottom"/>
            <w:gridSpan w:val="3"/>
          </w:tcPr>
          <w:p>
            <w:pPr>
              <w:jc w:val="right"/>
              <w:ind w:right="92"/>
              <w:spacing w:after="0"/>
              <w:rPr>
                <w:sz w:val="20"/>
                <w:szCs w:val="20"/>
                <w:color w:val="auto"/>
              </w:rPr>
            </w:pPr>
            <w:r>
              <w:rPr>
                <w:rFonts w:ascii="Arial" w:cs="Arial" w:eastAsia="Arial" w:hAnsi="Arial"/>
                <w:sz w:val="10"/>
                <w:szCs w:val="10"/>
                <w:b w:val="1"/>
                <w:bCs w:val="1"/>
                <w:color w:val="auto"/>
              </w:rPr>
              <w:t>2025</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1"/>
                <w:szCs w:val="11"/>
                <w:color w:val="auto"/>
              </w:rPr>
            </w:pPr>
          </w:p>
        </w:tc>
        <w:tc>
          <w:tcPr>
            <w:tcW w:w="1380" w:type="dxa"/>
            <w:vAlign w:val="bottom"/>
          </w:tcPr>
          <w:p>
            <w:pPr>
              <w:jc w:val="right"/>
              <w:ind w:right="532"/>
              <w:spacing w:after="0"/>
              <w:rPr>
                <w:sz w:val="20"/>
                <w:szCs w:val="20"/>
                <w:color w:val="auto"/>
              </w:rPr>
            </w:pPr>
            <w:r>
              <w:rPr>
                <w:rFonts w:ascii="Arial" w:cs="Arial" w:eastAsia="Arial" w:hAnsi="Arial"/>
                <w:sz w:val="10"/>
                <w:szCs w:val="10"/>
                <w:b w:val="1"/>
                <w:bCs w:val="1"/>
                <w:color w:val="auto"/>
              </w:rPr>
              <w:t>2024</w:t>
            </w:r>
          </w:p>
        </w:tc>
      </w:tr>
      <w:tr>
        <w:trPr>
          <w:trHeight w:val="90"/>
        </w:trPr>
        <w:tc>
          <w:tcPr>
            <w:tcW w:w="3960" w:type="dxa"/>
            <w:vAlign w:val="bottom"/>
            <w:gridSpan w:val="2"/>
          </w:tcPr>
          <w:p>
            <w:pPr>
              <w:spacing w:after="0" w:line="90" w:lineRule="exact"/>
              <w:rPr>
                <w:sz w:val="20"/>
                <w:szCs w:val="20"/>
                <w:color w:val="auto"/>
              </w:rPr>
            </w:pPr>
            <w:r>
              <w:rPr>
                <w:rFonts w:ascii="Arial" w:cs="Arial" w:eastAsia="Arial" w:hAnsi="Arial"/>
                <w:sz w:val="8"/>
                <w:szCs w:val="8"/>
                <w:b w:val="1"/>
                <w:bCs w:val="1"/>
                <w:color w:val="auto"/>
              </w:rPr>
              <w:t>Capital Ratios</w:t>
            </w:r>
            <w:r>
              <w:rPr>
                <w:rFonts w:ascii="Arial" w:cs="Arial" w:eastAsia="Arial" w:hAnsi="Arial"/>
                <w:sz w:val="10"/>
                <w:szCs w:val="10"/>
                <w:b w:val="1"/>
                <w:bCs w:val="1"/>
                <w:color w:val="auto"/>
                <w:vertAlign w:val="superscript"/>
              </w:rPr>
              <w:t>(1)</w:t>
            </w:r>
          </w:p>
        </w:tc>
        <w:tc>
          <w:tcPr>
            <w:tcW w:w="10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40"/>
        </w:trPr>
        <w:tc>
          <w:tcPr>
            <w:tcW w:w="4980" w:type="dxa"/>
            <w:vAlign w:val="bottom"/>
            <w:gridSpan w:val="3"/>
          </w:tcPr>
          <w:p>
            <w:pPr>
              <w:ind w:left="80"/>
              <w:spacing w:after="0"/>
              <w:rPr>
                <w:sz w:val="20"/>
                <w:szCs w:val="20"/>
                <w:color w:val="auto"/>
              </w:rPr>
            </w:pPr>
            <w:r>
              <w:rPr>
                <w:rFonts w:ascii="Arial" w:cs="Arial" w:eastAsia="Arial" w:hAnsi="Arial"/>
                <w:sz w:val="10"/>
                <w:szCs w:val="10"/>
                <w:b w:val="1"/>
                <w:bCs w:val="1"/>
                <w:color w:val="auto"/>
              </w:rPr>
              <w:t>Banc of California, Inc.</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31"/>
        </w:trPr>
        <w:tc>
          <w:tcPr>
            <w:tcW w:w="4980" w:type="dxa"/>
            <w:vAlign w:val="bottom"/>
            <w:gridSpan w:val="3"/>
          </w:tcPr>
          <w:p>
            <w:pPr>
              <w:ind w:left="160"/>
              <w:spacing w:after="0"/>
              <w:rPr>
                <w:sz w:val="20"/>
                <w:szCs w:val="20"/>
                <w:color w:val="auto"/>
              </w:rPr>
            </w:pPr>
            <w:r>
              <w:rPr>
                <w:rFonts w:ascii="Arial" w:cs="Arial" w:eastAsia="Arial" w:hAnsi="Arial"/>
                <w:sz w:val="10"/>
                <w:szCs w:val="10"/>
                <w:color w:val="auto"/>
              </w:rPr>
              <w:t>Total risk-based capital ratio</w:t>
            </w: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16.31 %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16.69 %</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16.37 %</w:t>
            </w: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16.93 %</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17.05 %</w:t>
            </w:r>
          </w:p>
        </w:tc>
      </w:tr>
      <w:tr>
        <w:trPr>
          <w:trHeight w:val="135"/>
        </w:trPr>
        <w:tc>
          <w:tcPr>
            <w:tcW w:w="4980" w:type="dxa"/>
            <w:vAlign w:val="bottom"/>
            <w:gridSpan w:val="3"/>
          </w:tcPr>
          <w:p>
            <w:pPr>
              <w:ind w:left="160"/>
              <w:spacing w:after="0"/>
              <w:rPr>
                <w:sz w:val="20"/>
                <w:szCs w:val="20"/>
                <w:color w:val="auto"/>
              </w:rPr>
            </w:pPr>
            <w:r>
              <w:rPr>
                <w:rFonts w:ascii="Arial" w:cs="Arial" w:eastAsia="Arial" w:hAnsi="Arial"/>
                <w:sz w:val="10"/>
                <w:szCs w:val="10"/>
                <w:color w:val="auto"/>
              </w:rPr>
              <w:t>Tier 1 risk-based capital ratio</w:t>
            </w: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12.34 %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12.56 %</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12.34 %</w:t>
            </w: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12.86 %</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12.97 %</w:t>
            </w:r>
          </w:p>
        </w:tc>
      </w:tr>
      <w:tr>
        <w:trPr>
          <w:trHeight w:val="135"/>
        </w:trPr>
        <w:tc>
          <w:tcPr>
            <w:tcW w:w="4980" w:type="dxa"/>
            <w:vAlign w:val="bottom"/>
            <w:gridSpan w:val="3"/>
          </w:tcPr>
          <w:p>
            <w:pPr>
              <w:ind w:left="160"/>
              <w:spacing w:after="0"/>
              <w:rPr>
                <w:sz w:val="20"/>
                <w:szCs w:val="20"/>
                <w:color w:val="auto"/>
              </w:rPr>
            </w:pPr>
            <w:r>
              <w:rPr>
                <w:rFonts w:ascii="Arial" w:cs="Arial" w:eastAsia="Arial" w:hAnsi="Arial"/>
                <w:sz w:val="10"/>
                <w:szCs w:val="10"/>
                <w:color w:val="auto"/>
              </w:rPr>
              <w:t>Common equity tier 1 capital ratio</w:t>
            </w: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10.01 %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10.14 %</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9.95 %</w:t>
            </w: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10.45 %</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10.55 %</w:t>
            </w:r>
          </w:p>
        </w:tc>
      </w:tr>
      <w:tr>
        <w:trPr>
          <w:trHeight w:val="135"/>
        </w:trPr>
        <w:tc>
          <w:tcPr>
            <w:tcW w:w="4980" w:type="dxa"/>
            <w:vAlign w:val="bottom"/>
            <w:gridSpan w:val="3"/>
          </w:tcPr>
          <w:p>
            <w:pPr>
              <w:ind w:left="160"/>
              <w:spacing w:after="0"/>
              <w:rPr>
                <w:sz w:val="20"/>
                <w:szCs w:val="20"/>
                <w:color w:val="auto"/>
              </w:rPr>
            </w:pPr>
            <w:r>
              <w:rPr>
                <w:rFonts w:ascii="Arial" w:cs="Arial" w:eastAsia="Arial" w:hAnsi="Arial"/>
                <w:sz w:val="10"/>
                <w:szCs w:val="10"/>
                <w:color w:val="auto"/>
              </w:rPr>
              <w:t>Tier 1 leverage ratio</w:t>
            </w:r>
          </w:p>
        </w:tc>
        <w:tc>
          <w:tcPr>
            <w:tcW w:w="380" w:type="dxa"/>
            <w:vAlign w:val="bottom"/>
          </w:tcPr>
          <w:p>
            <w:pPr>
              <w:jc w:val="right"/>
              <w:spacing w:after="0"/>
              <w:rPr>
                <w:sz w:val="20"/>
                <w:szCs w:val="20"/>
                <w:color w:val="auto"/>
              </w:rPr>
            </w:pPr>
            <w:r>
              <w:rPr>
                <w:rFonts w:ascii="Arial" w:cs="Arial" w:eastAsia="Arial" w:hAnsi="Arial"/>
                <w:sz w:val="10"/>
                <w:szCs w:val="10"/>
                <w:color w:val="auto"/>
              </w:rPr>
              <w:t>9.99 %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9.77 %</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9.74 %</w:t>
            </w: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10.19 %</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10.15 %</w:t>
            </w:r>
          </w:p>
        </w:tc>
      </w:tr>
      <w:tr>
        <w:trPr>
          <w:trHeight w:val="283"/>
        </w:trPr>
        <w:tc>
          <w:tcPr>
            <w:tcW w:w="4980" w:type="dxa"/>
            <w:vAlign w:val="bottom"/>
            <w:gridSpan w:val="3"/>
          </w:tcPr>
          <w:p>
            <w:pPr>
              <w:ind w:left="80"/>
              <w:spacing w:after="0"/>
              <w:rPr>
                <w:sz w:val="20"/>
                <w:szCs w:val="20"/>
                <w:color w:val="auto"/>
              </w:rPr>
            </w:pPr>
            <w:r>
              <w:rPr>
                <w:rFonts w:ascii="Arial" w:cs="Arial" w:eastAsia="Arial" w:hAnsi="Arial"/>
                <w:sz w:val="10"/>
                <w:szCs w:val="10"/>
                <w:b w:val="1"/>
                <w:bCs w:val="1"/>
                <w:color w:val="auto"/>
              </w:rPr>
              <w:t>Banc of California</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31"/>
        </w:trPr>
        <w:tc>
          <w:tcPr>
            <w:tcW w:w="4980" w:type="dxa"/>
            <w:vAlign w:val="bottom"/>
            <w:gridSpan w:val="3"/>
          </w:tcPr>
          <w:p>
            <w:pPr>
              <w:ind w:left="160"/>
              <w:spacing w:after="0"/>
              <w:rPr>
                <w:sz w:val="20"/>
                <w:szCs w:val="20"/>
                <w:color w:val="auto"/>
              </w:rPr>
            </w:pPr>
            <w:r>
              <w:rPr>
                <w:rFonts w:ascii="Arial" w:cs="Arial" w:eastAsia="Arial" w:hAnsi="Arial"/>
                <w:sz w:val="10"/>
                <w:szCs w:val="10"/>
                <w:color w:val="auto"/>
              </w:rPr>
              <w:t>Total risk-based capital ratio</w:t>
            </w: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15.61 %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15.94 %</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15.65 %</w:t>
            </w: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16.22 %</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16.65 %</w:t>
            </w:r>
          </w:p>
        </w:tc>
      </w:tr>
      <w:tr>
        <w:trPr>
          <w:trHeight w:val="135"/>
        </w:trPr>
        <w:tc>
          <w:tcPr>
            <w:tcW w:w="4980" w:type="dxa"/>
            <w:vAlign w:val="bottom"/>
            <w:gridSpan w:val="3"/>
          </w:tcPr>
          <w:p>
            <w:pPr>
              <w:ind w:left="160"/>
              <w:spacing w:after="0"/>
              <w:rPr>
                <w:sz w:val="20"/>
                <w:szCs w:val="20"/>
                <w:color w:val="auto"/>
              </w:rPr>
            </w:pPr>
            <w:r>
              <w:rPr>
                <w:rFonts w:ascii="Arial" w:cs="Arial" w:eastAsia="Arial" w:hAnsi="Arial"/>
                <w:sz w:val="10"/>
                <w:szCs w:val="10"/>
                <w:color w:val="auto"/>
              </w:rPr>
              <w:t>Tier 1 risk-based capital ratio</w:t>
            </w: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13.15 %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13.42 %</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13.21 %</w:t>
            </w: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13.74 %</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14.17 %</w:t>
            </w:r>
          </w:p>
        </w:tc>
      </w:tr>
      <w:tr>
        <w:trPr>
          <w:trHeight w:val="135"/>
        </w:trPr>
        <w:tc>
          <w:tcPr>
            <w:tcW w:w="4980" w:type="dxa"/>
            <w:vAlign w:val="bottom"/>
            <w:gridSpan w:val="3"/>
          </w:tcPr>
          <w:p>
            <w:pPr>
              <w:ind w:left="160"/>
              <w:spacing w:after="0"/>
              <w:rPr>
                <w:sz w:val="20"/>
                <w:szCs w:val="20"/>
                <w:color w:val="auto"/>
              </w:rPr>
            </w:pPr>
            <w:r>
              <w:rPr>
                <w:rFonts w:ascii="Arial" w:cs="Arial" w:eastAsia="Arial" w:hAnsi="Arial"/>
                <w:sz w:val="10"/>
                <w:szCs w:val="10"/>
                <w:color w:val="auto"/>
              </w:rPr>
              <w:t>Common equity tier 1 capital ratio</w:t>
            </w: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13.15 %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13.42 %</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13.21 %</w:t>
            </w: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13.74 %</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14.17 %</w:t>
            </w:r>
          </w:p>
        </w:tc>
      </w:tr>
      <w:tr>
        <w:trPr>
          <w:trHeight w:val="135"/>
        </w:trPr>
        <w:tc>
          <w:tcPr>
            <w:tcW w:w="4980" w:type="dxa"/>
            <w:vAlign w:val="bottom"/>
            <w:gridSpan w:val="3"/>
          </w:tcPr>
          <w:p>
            <w:pPr>
              <w:ind w:left="160"/>
              <w:spacing w:after="0"/>
              <w:rPr>
                <w:sz w:val="20"/>
                <w:szCs w:val="20"/>
                <w:color w:val="auto"/>
              </w:rPr>
            </w:pPr>
            <w:r>
              <w:rPr>
                <w:rFonts w:ascii="Arial" w:cs="Arial" w:eastAsia="Arial" w:hAnsi="Arial"/>
                <w:sz w:val="10"/>
                <w:szCs w:val="10"/>
                <w:color w:val="auto"/>
              </w:rPr>
              <w:t>Tier 1 leverage ratio</w:t>
            </w: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10.65 %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w w:val="92"/>
              </w:rPr>
              <w:t>10.44 %</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10.42 %</w:t>
            </w:r>
          </w:p>
        </w:tc>
        <w:tc>
          <w:tcPr>
            <w:tcW w:w="8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10.88 %</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11.08 %</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001B2C"/>
        </w:rPr>
        <w:t>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6D6D6D"/>
        </w:rPr>
        <w:t>(1) December 31, 2025 capital ratios are preliminary.</w:t>
      </w: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2025, cash and cash equivalents totaled $2.3 billion, down $90.3 million from September 30, 2025.</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Our immediately available cash and cash equivalents (excluding restricted cash) were $2.1 billion. Combined with total available borrowing capacity of $9.8 billion and unpledged AFS securities of $2.3 billion, total available liquidity was $14.2 billion at the end of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548640" cy="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15</w:t>
      </w:r>
    </w:p>
    <w:p>
      <w:pPr>
        <w:sectPr>
          <w:pgSz w:w="11900" w:h="16838" w:orient="portrait"/>
          <w:cols w:equalWidth="0" w:num="1">
            <w:col w:w="11240"/>
          </w:cols>
          <w:pgMar w:left="300" w:top="1018" w:right="35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Conference Call</w:t>
      </w:r>
    </w:p>
    <w:p>
      <w:pPr>
        <w:spacing w:after="0" w:line="105"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Company will host a conference call to discuss its fourth quarter and full year 2025 financial results at 10:00 a.m. Pacific Time (PT) on Thursday, January 22, 2026. Interested parties are welcome to attend the conference call by dialing (888) 317-6003 and referencing event code 0299940. A live audio webcast will also be available, and the webcast link will be posted on the Company’s Investor Relations website at www.bancofcal.com/investor. The slide presentation for the call will also be available on the Company's Investor Relations website prior to the call. A replay of the call will be made available approximately one hour after the call has ended on the Company’s Investor Relations website at www.bancofcal.com/investor or by dialing (855) 669-9658 and referencing event code 3936449.</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Banc of California, Inc.</w:t>
      </w:r>
    </w:p>
    <w:p>
      <w:pPr>
        <w:spacing w:after="0" w:line="105" w:lineRule="exact"/>
        <w:rPr>
          <w:sz w:val="20"/>
          <w:szCs w:val="20"/>
          <w:color w:val="auto"/>
        </w:rPr>
      </w:pPr>
    </w:p>
    <w:p>
      <w:pPr>
        <w:ind w:right="120"/>
        <w:spacing w:after="0" w:line="257" w:lineRule="auto"/>
        <w:rPr>
          <w:sz w:val="20"/>
          <w:szCs w:val="20"/>
          <w:color w:val="auto"/>
        </w:rPr>
      </w:pPr>
      <w:r>
        <w:rPr>
          <w:rFonts w:ascii="Arial" w:cs="Arial" w:eastAsia="Arial" w:hAnsi="Arial"/>
          <w:sz w:val="12"/>
          <w:szCs w:val="12"/>
          <w:color w:val="auto"/>
        </w:rPr>
        <w:t>Banc of California, Inc. (NYSE: BANC) is a bank holding company with over $34 billion in assets and the parent company of Banc of California. Banc of California is one of the nation’s premier relationship-based business banks, providing banking and treasury management services to small-, middle-market, and venture-backed businesses. Banc of California is the largest independent bank headquartered in Los Angeles and the third largest bank headquartered in California and offers a broad range of loan and deposit products and services through 79 full-service branches located throughout California and in Denver, Colorado, and Durham, North Carolina, as well as through regional offices nationwide. The bank also provides full-service payment processing solutions to its clients and serves the Community Association Management industry nationwide with its technology-forward platform, SmartStreet™. The bank is committed to its local communities through the Banc of California Charitable Foundation, and by supporting organizations that provide financial literacy and job training, small business support, affordable housing, and more. Member FDIC. For more information, please visit us at www.bancofcal.com.</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0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This press release includes forward-looking statements within the meaning of the “Safe-Harbor” provisions of the Private Securities Litigation Reform Act of 1995. These statements include, but are not limited to, statements related to our expectations regarding the performance of our business, liquidity and capital ratios and other non-historical statements. Words or phrases such as “believe,” “will,” “should,” “will likely result,” “are expected to,” “will continue,” “is anticipated,” “estimate,” “project,” “plans,” “strategy,” or similar expressions are intended to identify these forward-looking statements. You are cautioned not to place undue reliance on any forward-looking statements. These statements are necessarily subject to risk and uncertainty and actual results could differ materially from those anticipated due to various factors, including those set forth from time to time in the documents filed or furnished by the Company with the Securities and Exchange Commission ("SEC"). The Company undertakes no obligation to revise or publicly release any revision or update to these forward-looking statements to reflect events or circumstances that occur after the date on which such statements were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548640"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16</w:t>
      </w:r>
    </w:p>
    <w:p>
      <w:pPr>
        <w:sectPr>
          <w:pgSz w:w="11900" w:h="16838" w:orient="portrait"/>
          <w:cols w:equalWidth="0" w:num="1">
            <w:col w:w="11280"/>
          </w:cols>
          <w:pgMar w:left="300" w:top="802" w:right="319" w:bottom="1440" w:gutter="0" w:footer="0" w:header="0"/>
        </w:sectPr>
      </w:pPr>
    </w:p>
    <w:bookmarkStart w:id="20" w:name="page21"/>
    <w:bookmarkEnd w:id="20"/>
    <w:p>
      <w:pPr>
        <w:spacing w:after="0" w:line="25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Factors that could cause actual results to differ materially from the results anticipated or projected include, but are not limited to: (i) changes in general economic conditions, either nationally or in our market areas, including the impact of tariffs, supply chain disruptions, and the risk of recession or an economic downturn; (ii) changes in the interest rate environment, including the recent and potential future changes in the FRB benchmark rate, which could adversely affect our revenue and expenses, the value of assets and obligations, the realization of deferred tax assets, the availability and cost of capital and liquidity, and the impacts of continuing or renewed inflation; (iii) the credit risks of lending activities, which may be affected by deterioration in real estate markets and the financial condition of borrowers, and the operational risk of lending activities, including the effectiveness of our underwriting practices and the risk of fraud, any of which may lead to increased loan delinquencies, losses, and non-performing assets, and may result in our allowance for credit losses not being adequate; (iv) fluctuations in the demand for loans, and fluctuations in commercial and residential real estate values in our market area; (v) the quality and composition of our securities portfolio; (vi) our ability to develop and maintain a strong core deposit base, including among our venture banking clients, or other low cost funding sources necessary to fund our activities particularly in a rising or high interest rate environment; (vii) the rapid withdrawal of a significant amount of demand deposits over a short period of time; (viii) the costs and effects of litigation; (ix) risks related to the Company’s acquisitions, including disruption to current plans and operations; difficulties in customer and employee retention; fees, expenses and charges related to these transactions being significantly higher than anticipated; and our inability to achieve expected revenues, cost savings, synergies, and other benefits; (x) results of examinations by regulatory authorities of the Company and the possibility that any such regulatory authority may, among other things, limit our business activities, restrict our ability to invest in certain assets, refrain from issuing an approval or non-objection to certain capital or other actions, increase our allowance for credit losses, result in write-downs of asset values, restrict our ability or that of our bank subsidiary to pay dividends, or impose fines, penalties or sanctions; (xi) legislative or regulatory changes that adversely affect our business, including changes in tax laws and policies, accounting policies and practices, privacy laws, and regulatory capital or other rules; (xii) the risk that our enterprise risk management framework may not be effective in mitigating risk and reducing the potential for losses; (xiii) errors in estimates of the fair values of certain of our assets and liabilities, as well as the value of collateral supporting our loans, which may result in significant changes in valuation or recoveries; (xiv) failures or security breaches with respect to the network, applications, vendors and computer systems on which we depend, including due to cybersecurity threats; (xv) our ability to attract and retain key members of our senior management team; (xvi) the effects of climate change, severe weather events, natural disasters such as earthquakes and wildfires, pandemics, epidemics and other public health crises, acts of war or terrorism, and other external events on our business; (xvii) the impact of bank failures or other adverse developments at other banks on general depositor and investor sentiment regarding the stability and liquidity of banks; (xviii) the possibility that our recorded goodwill could become impaired, which may have an adverse impact on our earnings and capital; (xix) our existing indebtedness, together with any future incurrence of additional indebtedness, could adversely affect our ability to raise additional capital and to meet our debt obligations; (xx) the risk that we may incur significant losses on future asset sales or may not be able to execute anticipated asset sales; and (xxi) other economic, competitive, governmental, regulatory, and technological factors affecting our operations, pricing, products and services and the other risks described in our Annual Report on Form 10-K for the fiscal year ended December 31, 2024 and from time to time in other documents that we file with or furnish to the SEC.</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0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Included in this press release are certain non-GAAP financial measures, such as tangible common equity, tangible book value per common share, return on average tangible common equity, adjusted return on average tangible common equity, adjusted net earnings, adjusted return on average assets, pre-tax pre-provision income, efficiency ratio, and economic coverage ratio, designed to complement the financial information presented in accordance with U.S. GAAP because management believes such measures are useful to investors. These non-GAAP financial measures should be considered only as supplemental to, and not superior to, financial measures provided in accordance with GAAP. Please refer to the “Non-GAAP Measures” section of this release for additional detail including reconciliations of the non-GAAP financial measures included in this press release to the most directly comparable financial measures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369570</wp:posOffset>
            </wp:positionV>
            <wp:extent cx="548640"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17</w:t>
      </w:r>
    </w:p>
    <w:p>
      <w:pPr>
        <w:sectPr>
          <w:pgSz w:w="11900" w:h="16838" w:orient="portrait"/>
          <w:cols w:equalWidth="0" w:num="1">
            <w:col w:w="11280"/>
          </w:cols>
          <w:pgMar w:left="300" w:top="802" w:right="3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Investor Relations Inquiries: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Banc of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(855) 361-2262</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Jared Wolff, (310) 424-1230</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rPr>
        <w:t>Joe Kauder, (310) 844-5224</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Ann DeVries, (646) 376-7011</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001B2C"/>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Debora Vrana, Banc of California</w:t>
      </w:r>
    </w:p>
    <w:p>
      <w:pPr>
        <w:spacing w:after="0" w:line="9" w:lineRule="exact"/>
        <w:rPr>
          <w:sz w:val="20"/>
          <w:szCs w:val="20"/>
          <w:color w:val="auto"/>
        </w:rPr>
      </w:pPr>
    </w:p>
    <w:p>
      <w:pPr>
        <w:ind w:right="8619" w:firstLine="5"/>
        <w:spacing w:after="0" w:line="336" w:lineRule="auto"/>
        <w:tabs>
          <w:tab w:leader="none" w:pos="313" w:val="left"/>
        </w:tabs>
        <w:numPr>
          <w:ilvl w:val="0"/>
          <w:numId w:val="9"/>
        </w:numPr>
        <w:rPr>
          <w:rFonts w:ascii="Arial" w:cs="Arial" w:eastAsia="Arial" w:hAnsi="Arial"/>
          <w:sz w:val="11"/>
          <w:szCs w:val="11"/>
          <w:color w:val="auto"/>
        </w:rPr>
      </w:pPr>
      <w:r>
        <w:rPr>
          <w:rFonts w:ascii="Arial" w:cs="Arial" w:eastAsia="Arial" w:hAnsi="Arial"/>
          <w:sz w:val="11"/>
          <w:szCs w:val="11"/>
          <w:color w:val="auto"/>
        </w:rPr>
        <w:t xml:space="preserve">533-3122 </w:t>
      </w:r>
      <w:r>
        <w:rPr>
          <w:rFonts w:ascii="Arial" w:cs="Arial" w:eastAsia="Arial" w:hAnsi="Arial"/>
          <w:sz w:val="11"/>
          <w:szCs w:val="11"/>
          <w:color w:val="001B2C"/>
        </w:rPr>
        <w:t>Deb.Vrana@bancofcal.com</w:t>
      </w:r>
    </w:p>
    <w:p>
      <w:pPr>
        <w:spacing w:after="0"/>
        <w:rPr>
          <w:sz w:val="20"/>
          <w:szCs w:val="20"/>
          <w:color w:val="auto"/>
        </w:rPr>
      </w:pPr>
      <w:r>
        <w:rPr>
          <w:rFonts w:ascii="Arial" w:cs="Arial" w:eastAsia="Arial" w:hAnsi="Arial"/>
          <w:sz w:val="12"/>
          <w:szCs w:val="12"/>
          <w:b w:val="1"/>
          <w:bCs w:val="1"/>
          <w:color w:val="001B2C"/>
        </w:rPr>
        <w:t xml:space="preserve">Source: </w:t>
      </w:r>
      <w:r>
        <w:rPr>
          <w:rFonts w:ascii="Arial" w:cs="Arial" w:eastAsia="Arial" w:hAnsi="Arial"/>
          <w:sz w:val="12"/>
          <w:szCs w:val="12"/>
          <w:color w:val="001B2C"/>
        </w:rPr>
        <w:t>Banc of California,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446405</wp:posOffset>
            </wp:positionV>
            <wp:extent cx="548640"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7899"/>
        <w:spacing w:after="0"/>
        <w:rPr>
          <w:sz w:val="20"/>
          <w:szCs w:val="20"/>
          <w:color w:val="auto"/>
        </w:rPr>
      </w:pPr>
      <w:r>
        <w:rPr>
          <w:rFonts w:ascii="Arial" w:cs="Arial" w:eastAsia="Arial" w:hAnsi="Arial"/>
          <w:sz w:val="10"/>
          <w:szCs w:val="10"/>
          <w:color w:val="001B2C"/>
        </w:rPr>
        <w:t>18</w:t>
      </w:r>
    </w:p>
    <w:p>
      <w:pPr>
        <w:sectPr>
          <w:pgSz w:w="11900" w:h="16838" w:orient="portrait"/>
          <w:cols w:equalWidth="0" w:num="1">
            <w:col w:w="10079"/>
          </w:cols>
          <w:pgMar w:left="380" w:top="829" w:right="1440" w:bottom="1440" w:gutter="0" w:footer="0" w:header="0"/>
        </w:sectPr>
      </w:pPr>
    </w:p>
    <w:bookmarkStart w:id="22" w:name="page23"/>
    <w:bookmarkEnd w:id="22"/>
    <w:p>
      <w:pPr>
        <w:ind w:left="8"/>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CONSOLIDATED STATEMENTS OF FINANCIAL CONDITION (UNAUDITED)</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11"/>
                <w:szCs w:val="11"/>
                <w:color w:val="auto"/>
              </w:rPr>
            </w:pPr>
          </w:p>
        </w:tc>
        <w:tc>
          <w:tcPr>
            <w:tcW w:w="130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11"/>
                <w:szCs w:val="11"/>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June 30,</w:t>
            </w:r>
          </w:p>
        </w:tc>
        <w:tc>
          <w:tcPr>
            <w:tcW w:w="300" w:type="dxa"/>
            <w:vAlign w:val="bottom"/>
          </w:tcPr>
          <w:p>
            <w:pPr>
              <w:spacing w:after="0"/>
              <w:rPr>
                <w:sz w:val="11"/>
                <w:szCs w:val="11"/>
                <w:color w:val="auto"/>
              </w:rPr>
            </w:pPr>
          </w:p>
        </w:tc>
        <w:tc>
          <w:tcPr>
            <w:tcW w:w="1240" w:type="dxa"/>
            <w:vAlign w:val="bottom"/>
            <w:gridSpan w:val="2"/>
          </w:tcPr>
          <w:p>
            <w:pPr>
              <w:ind w:left="220"/>
              <w:spacing w:after="0"/>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11"/>
                <w:szCs w:val="11"/>
                <w:color w:val="auto"/>
              </w:rPr>
            </w:pPr>
          </w:p>
        </w:tc>
        <w:tc>
          <w:tcPr>
            <w:tcW w:w="1220" w:type="dxa"/>
            <w:vAlign w:val="bottom"/>
          </w:tcPr>
          <w:p>
            <w:pPr>
              <w:jc w:val="right"/>
              <w:ind w:right="372"/>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98"/>
              </w:rPr>
              <w:t>2025</w:t>
            </w: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24"/>
        </w:trPr>
        <w:tc>
          <w:tcPr>
            <w:tcW w:w="370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0"/>
                <w:szCs w:val="10"/>
                <w:b w:val="1"/>
                <w:bCs w:val="1"/>
                <w:i w:val="1"/>
                <w:iCs w:val="1"/>
                <w:color w:val="auto"/>
                <w:w w:val="96"/>
              </w:rPr>
              <w:t>(Dollars in thousands)</w:t>
            </w: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20"/>
                <w:szCs w:val="20"/>
                <w:color w:val="auto"/>
              </w:rPr>
            </w:pPr>
            <w:r>
              <w:rPr>
                <w:rFonts w:ascii="Arial" w:cs="Arial" w:eastAsia="Arial" w:hAnsi="Arial"/>
                <w:sz w:val="10"/>
                <w:szCs w:val="10"/>
                <w:color w:val="auto"/>
              </w:rPr>
              <w:t>Cash and due from banks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181,103</w:t>
            </w:r>
          </w:p>
        </w:tc>
        <w:tc>
          <w:tcPr>
            <w:tcW w:w="6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205,364</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0"/>
                <w:szCs w:val="10"/>
                <w:color w:val="auto"/>
              </w:rPr>
              <w:t>222,210</w:t>
            </w:r>
          </w:p>
        </w:tc>
        <w:tc>
          <w:tcPr>
            <w:tcW w:w="6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215,591</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192,006</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Interest-earning deposits in financial</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80"/>
              <w:spacing w:after="0"/>
              <w:rPr>
                <w:sz w:val="20"/>
                <w:szCs w:val="20"/>
                <w:color w:val="auto"/>
              </w:rPr>
            </w:pPr>
            <w:r>
              <w:rPr>
                <w:rFonts w:ascii="Arial" w:cs="Arial" w:eastAsia="Arial" w:hAnsi="Arial"/>
                <w:sz w:val="10"/>
                <w:szCs w:val="10"/>
                <w:color w:val="auto"/>
              </w:rPr>
              <w:t>institutions</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2,126,862</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2,192,901</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2,131,342</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2,128,298</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2,310,206</w:t>
            </w:r>
          </w:p>
        </w:tc>
        <w:tc>
          <w:tcPr>
            <w:tcW w:w="0" w:type="dxa"/>
            <w:vAlign w:val="bottom"/>
          </w:tcPr>
          <w:p>
            <w:pPr>
              <w:spacing w:after="0"/>
              <w:rPr>
                <w:sz w:val="1"/>
                <w:szCs w:val="1"/>
                <w:color w:val="auto"/>
              </w:rPr>
            </w:pPr>
          </w:p>
        </w:tc>
      </w:tr>
      <w:tr>
        <w:trPr>
          <w:trHeight w:val="129"/>
        </w:trPr>
        <w:tc>
          <w:tcPr>
            <w:tcW w:w="3700" w:type="dxa"/>
            <w:vAlign w:val="bottom"/>
          </w:tcPr>
          <w:p>
            <w:pPr>
              <w:ind w:left="80"/>
              <w:spacing w:after="0"/>
              <w:rPr>
                <w:sz w:val="20"/>
                <w:szCs w:val="20"/>
                <w:color w:val="auto"/>
              </w:rPr>
            </w:pPr>
            <w:r>
              <w:rPr>
                <w:rFonts w:ascii="Arial" w:cs="Arial" w:eastAsia="Arial" w:hAnsi="Arial"/>
                <w:sz w:val="10"/>
                <w:szCs w:val="10"/>
                <w:b w:val="1"/>
                <w:bCs w:val="1"/>
                <w:color w:val="auto"/>
              </w:rPr>
              <w:t>Total cash and cash equivalents</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2,307,965</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2,398,265</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2,353,552</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2,343,889</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2,502,212</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20"/>
                <w:szCs w:val="20"/>
                <w:color w:val="auto"/>
              </w:rPr>
            </w:pPr>
            <w:r>
              <w:rPr>
                <w:rFonts w:ascii="Arial" w:cs="Arial" w:eastAsia="Arial" w:hAnsi="Arial"/>
                <w:sz w:val="10"/>
                <w:szCs w:val="10"/>
                <w:color w:val="auto"/>
              </w:rPr>
              <w:t>Securities available-for-sale</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2,454,058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2,426,734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2,246,174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2,334,058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2,246,839</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Securities held-to-maturity</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2,308,636</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2,303,657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2,316,725</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2,311,912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2,306,149</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FRB and FHLB stock</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160,442</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159,337</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162,243</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155,330</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147,773</w:t>
            </w:r>
          </w:p>
        </w:tc>
        <w:tc>
          <w:tcPr>
            <w:tcW w:w="0" w:type="dxa"/>
            <w:vAlign w:val="bottom"/>
          </w:tcPr>
          <w:p>
            <w:pPr>
              <w:spacing w:after="0"/>
              <w:rPr>
                <w:sz w:val="1"/>
                <w:szCs w:val="1"/>
                <w:color w:val="auto"/>
              </w:rPr>
            </w:pPr>
          </w:p>
        </w:tc>
      </w:tr>
      <w:tr>
        <w:trPr>
          <w:trHeight w:val="128"/>
        </w:trPr>
        <w:tc>
          <w:tcPr>
            <w:tcW w:w="3700" w:type="dxa"/>
            <w:vAlign w:val="bottom"/>
          </w:tcPr>
          <w:p>
            <w:pPr>
              <w:ind w:left="80"/>
              <w:spacing w:after="0"/>
              <w:rPr>
                <w:sz w:val="20"/>
                <w:szCs w:val="20"/>
                <w:color w:val="auto"/>
              </w:rPr>
            </w:pPr>
            <w:r>
              <w:rPr>
                <w:rFonts w:ascii="Arial" w:cs="Arial" w:eastAsia="Arial" w:hAnsi="Arial"/>
                <w:sz w:val="10"/>
                <w:szCs w:val="10"/>
                <w:b w:val="1"/>
                <w:bCs w:val="1"/>
                <w:color w:val="auto"/>
              </w:rPr>
              <w:t>Total investment securities</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4,923,136</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4,889,728</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4,725,142</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4,801,300</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4,700,761</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20"/>
                <w:szCs w:val="20"/>
                <w:color w:val="auto"/>
              </w:rPr>
            </w:pPr>
            <w:r>
              <w:rPr>
                <w:rFonts w:ascii="Arial" w:cs="Arial" w:eastAsia="Arial" w:hAnsi="Arial"/>
                <w:sz w:val="10"/>
                <w:szCs w:val="10"/>
                <w:b w:val="1"/>
                <w:bCs w:val="1"/>
                <w:color w:val="auto"/>
              </w:rPr>
              <w:t>Loans held for sale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182,936</w:t>
            </w: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211,454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465,571</w:t>
            </w: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25,797</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26,331</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20"/>
                <w:szCs w:val="20"/>
                <w:color w:val="auto"/>
              </w:rPr>
            </w:pPr>
            <w:r>
              <w:rPr>
                <w:rFonts w:ascii="Arial" w:cs="Arial" w:eastAsia="Arial" w:hAnsi="Arial"/>
                <w:sz w:val="10"/>
                <w:szCs w:val="10"/>
                <w:color w:val="auto"/>
              </w:rPr>
              <w:t>Loans and leases held for investment</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25,032,679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24,110,642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24,245,893</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24,126,527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23,781,663</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Allowance for loan and lease losses</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(245,612)</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(240,501)</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(229,344)</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(234,986)</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(239,360)</w:t>
            </w:r>
          </w:p>
        </w:tc>
        <w:tc>
          <w:tcPr>
            <w:tcW w:w="0" w:type="dxa"/>
            <w:vAlign w:val="bottom"/>
          </w:tcPr>
          <w:p>
            <w:pPr>
              <w:spacing w:after="0"/>
              <w:rPr>
                <w:sz w:val="1"/>
                <w:szCs w:val="1"/>
                <w:color w:val="auto"/>
              </w:rPr>
            </w:pPr>
          </w:p>
        </w:tc>
      </w:tr>
      <w:tr>
        <w:trPr>
          <w:trHeight w:val="119"/>
        </w:trPr>
        <w:tc>
          <w:tcPr>
            <w:tcW w:w="3700" w:type="dxa"/>
            <w:vAlign w:val="bottom"/>
          </w:tcPr>
          <w:p>
            <w:pPr>
              <w:ind w:left="80"/>
              <w:spacing w:after="0"/>
              <w:rPr>
                <w:sz w:val="20"/>
                <w:szCs w:val="20"/>
                <w:color w:val="auto"/>
              </w:rPr>
            </w:pPr>
            <w:r>
              <w:rPr>
                <w:rFonts w:ascii="Arial" w:cs="Arial" w:eastAsia="Arial" w:hAnsi="Arial"/>
                <w:sz w:val="10"/>
                <w:szCs w:val="10"/>
                <w:b w:val="1"/>
                <w:bCs w:val="1"/>
                <w:color w:val="auto"/>
              </w:rPr>
              <w:t>Total loans and leases held for</w:t>
            </w: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140"/>
              <w:spacing w:after="0"/>
              <w:rPr>
                <w:sz w:val="20"/>
                <w:szCs w:val="20"/>
                <w:color w:val="auto"/>
              </w:rPr>
            </w:pPr>
            <w:r>
              <w:rPr>
                <w:rFonts w:ascii="Arial" w:cs="Arial" w:eastAsia="Arial" w:hAnsi="Arial"/>
                <w:sz w:val="10"/>
                <w:szCs w:val="10"/>
                <w:b w:val="1"/>
                <w:bCs w:val="1"/>
                <w:color w:val="auto"/>
              </w:rPr>
              <w:t>investment, net</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24,787,067</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23,870,141</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24,016,549</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23,891,541</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23,542,303</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20"/>
                <w:szCs w:val="20"/>
                <w:color w:val="auto"/>
              </w:rPr>
            </w:pPr>
            <w:r>
              <w:rPr>
                <w:rFonts w:ascii="Arial" w:cs="Arial" w:eastAsia="Arial" w:hAnsi="Arial"/>
                <w:sz w:val="10"/>
                <w:szCs w:val="10"/>
                <w:color w:val="auto"/>
              </w:rPr>
              <w:t>Equipment leased to others under</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80"/>
              <w:spacing w:after="0"/>
              <w:rPr>
                <w:sz w:val="20"/>
                <w:szCs w:val="20"/>
                <w:color w:val="auto"/>
              </w:rPr>
            </w:pPr>
            <w:r>
              <w:rPr>
                <w:rFonts w:ascii="Arial" w:cs="Arial" w:eastAsia="Arial" w:hAnsi="Arial"/>
                <w:sz w:val="10"/>
                <w:szCs w:val="10"/>
                <w:color w:val="auto"/>
              </w:rPr>
              <w:t>operating leases</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238,232</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280,872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288,692</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295,032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307,188</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Premises and equipment, net</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146,698</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132,766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138,032</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140,347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142,546</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Bank owned life insurance</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350,083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348,051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346,142</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342,810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339,517</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Goodwill</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214,521</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214,521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214,521</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214,521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214,521</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Intangible assets, net</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105,287</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111,923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118,930</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125,937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132,944</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Deferred tax asset, net</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656,755</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672,159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691,535</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702,323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720,587</w:t>
            </w:r>
          </w:p>
        </w:tc>
        <w:tc>
          <w:tcPr>
            <w:tcW w:w="0" w:type="dxa"/>
            <w:vAlign w:val="bottom"/>
          </w:tcPr>
          <w:p>
            <w:pPr>
              <w:spacing w:after="0"/>
              <w:rPr>
                <w:sz w:val="1"/>
                <w:szCs w:val="1"/>
                <w:color w:val="auto"/>
              </w:rPr>
            </w:pPr>
          </w:p>
        </w:tc>
      </w:tr>
      <w:tr>
        <w:trPr>
          <w:trHeight w:val="138"/>
        </w:trPr>
        <w:tc>
          <w:tcPr>
            <w:tcW w:w="3700" w:type="dxa"/>
            <w:vAlign w:val="bottom"/>
          </w:tcPr>
          <w:p>
            <w:pPr>
              <w:spacing w:after="0"/>
              <w:rPr>
                <w:sz w:val="20"/>
                <w:szCs w:val="20"/>
                <w:color w:val="auto"/>
              </w:rPr>
            </w:pPr>
            <w:r>
              <w:rPr>
                <w:rFonts w:ascii="Arial" w:cs="Arial" w:eastAsia="Arial" w:hAnsi="Arial"/>
                <w:sz w:val="10"/>
                <w:szCs w:val="10"/>
                <w:color w:val="auto"/>
              </w:rPr>
              <w:t>Other assets</w:t>
            </w: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884,762</w:t>
            </w: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883,085</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891,787</w:t>
            </w: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896,421</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913,954</w:t>
            </w:r>
          </w:p>
        </w:tc>
        <w:tc>
          <w:tcPr>
            <w:tcW w:w="0" w:type="dxa"/>
            <w:vAlign w:val="bottom"/>
          </w:tcPr>
          <w:p>
            <w:pPr>
              <w:spacing w:after="0"/>
              <w:rPr>
                <w:sz w:val="1"/>
                <w:szCs w:val="1"/>
                <w:color w:val="auto"/>
              </w:rPr>
            </w:pPr>
          </w:p>
        </w:tc>
      </w:tr>
      <w:tr>
        <w:trPr>
          <w:trHeight w:val="127"/>
        </w:trPr>
        <w:tc>
          <w:tcPr>
            <w:tcW w:w="3700" w:type="dxa"/>
            <w:vAlign w:val="bottom"/>
          </w:tcPr>
          <w:p>
            <w:pPr>
              <w:ind w:left="80"/>
              <w:spacing w:after="0"/>
              <w:rPr>
                <w:sz w:val="20"/>
                <w:szCs w:val="20"/>
                <w:color w:val="auto"/>
              </w:rPr>
            </w:pPr>
            <w:r>
              <w:rPr>
                <w:rFonts w:ascii="Arial" w:cs="Arial" w:eastAsia="Arial" w:hAnsi="Arial"/>
                <w:sz w:val="10"/>
                <w:szCs w:val="10"/>
                <w:b w:val="1"/>
                <w:bCs w:val="1"/>
                <w:color w:val="auto"/>
              </w:rPr>
              <w:t>Total assets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34,797,442</w:t>
            </w:r>
          </w:p>
        </w:tc>
        <w:tc>
          <w:tcPr>
            <w:tcW w:w="60" w:type="dxa"/>
            <w:vAlign w:val="bottom"/>
          </w:tcPr>
          <w:p>
            <w:pPr>
              <w:spacing w:after="0"/>
              <w:rPr>
                <w:sz w:val="11"/>
                <w:szCs w:val="11"/>
                <w:color w:val="auto"/>
              </w:rPr>
            </w:pP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34,012,965</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34,250,453</w:t>
            </w:r>
          </w:p>
        </w:tc>
        <w:tc>
          <w:tcPr>
            <w:tcW w:w="60" w:type="dxa"/>
            <w:vAlign w:val="bottom"/>
          </w:tcPr>
          <w:p>
            <w:pPr>
              <w:spacing w:after="0"/>
              <w:rPr>
                <w:sz w:val="11"/>
                <w:szCs w:val="11"/>
                <w:color w:val="auto"/>
              </w:rPr>
            </w:pP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33,779,918</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33,542,864</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0"/>
                <w:szCs w:val="10"/>
                <w:b w:val="1"/>
                <w:bCs w:val="1"/>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20"/>
                <w:szCs w:val="20"/>
                <w:color w:val="auto"/>
              </w:rPr>
            </w:pPr>
            <w:r>
              <w:rPr>
                <w:rFonts w:ascii="Arial" w:cs="Arial" w:eastAsia="Arial" w:hAnsi="Arial"/>
                <w:sz w:val="10"/>
                <w:szCs w:val="10"/>
                <w:color w:val="auto"/>
              </w:rPr>
              <w:t>Noninterest-bearing deposits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7,822,787</w:t>
            </w:r>
          </w:p>
        </w:tc>
        <w:tc>
          <w:tcPr>
            <w:tcW w:w="6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7,603,748</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0"/>
                <w:szCs w:val="10"/>
                <w:color w:val="auto"/>
              </w:rPr>
              <w:t>7,441,116</w:t>
            </w:r>
          </w:p>
        </w:tc>
        <w:tc>
          <w:tcPr>
            <w:tcW w:w="6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7,593,950</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7,719,913</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Interest-bearing deposits</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20,020,570</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19,581,017</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20,087,317</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19,599,241</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19,471,996</w:t>
            </w:r>
          </w:p>
        </w:tc>
        <w:tc>
          <w:tcPr>
            <w:tcW w:w="0" w:type="dxa"/>
            <w:vAlign w:val="bottom"/>
          </w:tcPr>
          <w:p>
            <w:pPr>
              <w:spacing w:after="0"/>
              <w:rPr>
                <w:sz w:val="1"/>
                <w:szCs w:val="1"/>
                <w:color w:val="auto"/>
              </w:rPr>
            </w:pPr>
          </w:p>
        </w:tc>
      </w:tr>
      <w:tr>
        <w:trPr>
          <w:trHeight w:val="128"/>
        </w:trPr>
        <w:tc>
          <w:tcPr>
            <w:tcW w:w="3700" w:type="dxa"/>
            <w:vAlign w:val="bottom"/>
          </w:tcPr>
          <w:p>
            <w:pPr>
              <w:ind w:left="80"/>
              <w:spacing w:after="0"/>
              <w:rPr>
                <w:sz w:val="20"/>
                <w:szCs w:val="20"/>
                <w:color w:val="auto"/>
              </w:rPr>
            </w:pPr>
            <w:r>
              <w:rPr>
                <w:rFonts w:ascii="Arial" w:cs="Arial" w:eastAsia="Arial" w:hAnsi="Arial"/>
                <w:sz w:val="10"/>
                <w:szCs w:val="10"/>
                <w:b w:val="1"/>
                <w:bCs w:val="1"/>
                <w:color w:val="auto"/>
              </w:rPr>
              <w:t>Total deposits</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27,843,357</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27,184,765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27,528,433</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27,193,191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27,191,909</w:t>
            </w:r>
          </w:p>
        </w:tc>
        <w:tc>
          <w:tcPr>
            <w:tcW w:w="0" w:type="dxa"/>
            <w:vAlign w:val="bottom"/>
          </w:tcPr>
          <w:p>
            <w:pPr>
              <w:spacing w:after="0"/>
              <w:rPr>
                <w:sz w:val="1"/>
                <w:szCs w:val="1"/>
                <w:color w:val="auto"/>
              </w:rPr>
            </w:pPr>
          </w:p>
        </w:tc>
      </w:tr>
      <w:tr>
        <w:trPr>
          <w:trHeight w:val="131"/>
        </w:trPr>
        <w:tc>
          <w:tcPr>
            <w:tcW w:w="3700" w:type="dxa"/>
            <w:vAlign w:val="bottom"/>
          </w:tcPr>
          <w:p>
            <w:pPr>
              <w:spacing w:after="0"/>
              <w:rPr>
                <w:sz w:val="20"/>
                <w:szCs w:val="20"/>
                <w:color w:val="auto"/>
              </w:rPr>
            </w:pPr>
            <w:r>
              <w:rPr>
                <w:rFonts w:ascii="Arial" w:cs="Arial" w:eastAsia="Arial" w:hAnsi="Arial"/>
                <w:sz w:val="10"/>
                <w:szCs w:val="10"/>
                <w:color w:val="auto"/>
              </w:rPr>
              <w:t>Borrowings</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2,063,819</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2,005,022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1,917,180</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1,670,782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1,391,814</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Subordinated debt</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952,740</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950,888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949,213</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944,908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941,923</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Accrued interest payable and other</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80"/>
              <w:spacing w:after="0"/>
              <w:rPr>
                <w:sz w:val="20"/>
                <w:szCs w:val="20"/>
                <w:color w:val="auto"/>
              </w:rPr>
            </w:pPr>
            <w:r>
              <w:rPr>
                <w:rFonts w:ascii="Arial" w:cs="Arial" w:eastAsia="Arial" w:hAnsi="Arial"/>
                <w:sz w:val="10"/>
                <w:szCs w:val="10"/>
                <w:color w:val="auto"/>
              </w:rPr>
              <w:t>liabilities</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396,249</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405,551</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428,784</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449,381</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517,269</w:t>
            </w:r>
          </w:p>
        </w:tc>
        <w:tc>
          <w:tcPr>
            <w:tcW w:w="0" w:type="dxa"/>
            <w:vAlign w:val="bottom"/>
          </w:tcPr>
          <w:p>
            <w:pPr>
              <w:spacing w:after="0"/>
              <w:rPr>
                <w:sz w:val="1"/>
                <w:szCs w:val="1"/>
                <w:color w:val="auto"/>
              </w:rPr>
            </w:pPr>
          </w:p>
        </w:tc>
      </w:tr>
      <w:tr>
        <w:trPr>
          <w:trHeight w:val="128"/>
        </w:trPr>
        <w:tc>
          <w:tcPr>
            <w:tcW w:w="3700" w:type="dxa"/>
            <w:vAlign w:val="bottom"/>
          </w:tcPr>
          <w:p>
            <w:pPr>
              <w:ind w:left="80"/>
              <w:spacing w:after="0"/>
              <w:rPr>
                <w:sz w:val="20"/>
                <w:szCs w:val="20"/>
                <w:color w:val="auto"/>
              </w:rPr>
            </w:pPr>
            <w:r>
              <w:rPr>
                <w:rFonts w:ascii="Arial" w:cs="Arial" w:eastAsia="Arial" w:hAnsi="Arial"/>
                <w:sz w:val="10"/>
                <w:szCs w:val="10"/>
                <w:b w:val="1"/>
                <w:bCs w:val="1"/>
                <w:color w:val="auto"/>
              </w:rPr>
              <w:t>Total liabilities</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31,256,165</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30,546,226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30,823,610</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30,258,262</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30,042,915</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20"/>
                <w:szCs w:val="20"/>
                <w:color w:val="auto"/>
              </w:rPr>
            </w:pPr>
            <w:r>
              <w:rPr>
                <w:rFonts w:ascii="Arial" w:cs="Arial" w:eastAsia="Arial" w:hAnsi="Arial"/>
                <w:sz w:val="10"/>
                <w:szCs w:val="10"/>
                <w:b w:val="1"/>
                <w:bCs w:val="1"/>
                <w:color w:val="auto"/>
              </w:rPr>
              <w:t>STOCKHOLDERS' EQUITY:</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20"/>
                <w:szCs w:val="20"/>
                <w:color w:val="auto"/>
              </w:rPr>
            </w:pPr>
            <w:r>
              <w:rPr>
                <w:rFonts w:ascii="Arial" w:cs="Arial" w:eastAsia="Arial" w:hAnsi="Arial"/>
                <w:sz w:val="10"/>
                <w:szCs w:val="10"/>
                <w:color w:val="auto"/>
              </w:rPr>
              <w:t>Preferred stock</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498,516</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498,516</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498,516</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Common stock</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1,500</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1,474</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1,561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1,586</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Class B non-voting common stock</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Non-voting common stock equivalents</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50</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98</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98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98</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Additional paid-in-capital</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3,552,483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3,563,145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3,609,109</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3,732,376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3,785,725</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Retained deficit</w:t>
            </w: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(242,016)</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(309,460)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(369,142)</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(387,580)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(431,201)</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20"/>
                <w:szCs w:val="20"/>
                <w:color w:val="auto"/>
              </w:rPr>
            </w:pPr>
            <w:r>
              <w:rPr>
                <w:rFonts w:ascii="Arial" w:cs="Arial" w:eastAsia="Arial" w:hAnsi="Arial"/>
                <w:sz w:val="10"/>
                <w:szCs w:val="10"/>
                <w:color w:val="auto"/>
              </w:rPr>
              <w:t>Accumulated other comprehensive</w:t>
            </w: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80"/>
              <w:spacing w:after="0"/>
              <w:rPr>
                <w:sz w:val="20"/>
                <w:szCs w:val="20"/>
                <w:color w:val="auto"/>
              </w:rPr>
            </w:pPr>
            <w:r>
              <w:rPr>
                <w:rFonts w:ascii="Arial" w:cs="Arial" w:eastAsia="Arial" w:hAnsi="Arial"/>
                <w:sz w:val="10"/>
                <w:szCs w:val="10"/>
                <w:color w:val="auto"/>
              </w:rPr>
              <w:t>loss, net</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(269,261)</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(287,017)</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(313,217)</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(323,320)</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(354,780)</w:t>
            </w:r>
          </w:p>
        </w:tc>
        <w:tc>
          <w:tcPr>
            <w:tcW w:w="0" w:type="dxa"/>
            <w:vAlign w:val="bottom"/>
          </w:tcPr>
          <w:p>
            <w:pPr>
              <w:spacing w:after="0"/>
              <w:rPr>
                <w:sz w:val="1"/>
                <w:szCs w:val="1"/>
                <w:color w:val="auto"/>
              </w:rPr>
            </w:pPr>
          </w:p>
        </w:tc>
      </w:tr>
      <w:tr>
        <w:trPr>
          <w:trHeight w:val="128"/>
        </w:trPr>
        <w:tc>
          <w:tcPr>
            <w:tcW w:w="3700" w:type="dxa"/>
            <w:vAlign w:val="bottom"/>
          </w:tcPr>
          <w:p>
            <w:pPr>
              <w:ind w:left="140"/>
              <w:spacing w:after="0"/>
              <w:rPr>
                <w:sz w:val="20"/>
                <w:szCs w:val="20"/>
                <w:color w:val="auto"/>
              </w:rPr>
            </w:pPr>
            <w:r>
              <w:rPr>
                <w:rFonts w:ascii="Arial" w:cs="Arial" w:eastAsia="Arial" w:hAnsi="Arial"/>
                <w:sz w:val="10"/>
                <w:szCs w:val="10"/>
                <w:b w:val="1"/>
                <w:bCs w:val="1"/>
                <w:color w:val="auto"/>
              </w:rPr>
              <w:t>Total stockholders’ equity</w:t>
            </w: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3,541,277</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3,466,739</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3,426,843</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3,521,656</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3,499,949</w:t>
            </w:r>
          </w:p>
        </w:tc>
        <w:tc>
          <w:tcPr>
            <w:tcW w:w="0" w:type="dxa"/>
            <w:vAlign w:val="bottom"/>
          </w:tcPr>
          <w:p>
            <w:pPr>
              <w:spacing w:after="0"/>
              <w:rPr>
                <w:sz w:val="1"/>
                <w:szCs w:val="1"/>
                <w:color w:val="auto"/>
              </w:rPr>
            </w:pPr>
          </w:p>
        </w:tc>
      </w:tr>
      <w:tr>
        <w:trPr>
          <w:trHeight w:val="115"/>
        </w:trPr>
        <w:tc>
          <w:tcPr>
            <w:tcW w:w="3700" w:type="dxa"/>
            <w:vAlign w:val="bottom"/>
          </w:tcPr>
          <w:p>
            <w:pPr>
              <w:ind w:left="140"/>
              <w:spacing w:after="0"/>
              <w:rPr>
                <w:sz w:val="20"/>
                <w:szCs w:val="20"/>
                <w:color w:val="auto"/>
              </w:rPr>
            </w:pPr>
            <w:r>
              <w:rPr>
                <w:rFonts w:ascii="Arial" w:cs="Arial" w:eastAsia="Arial" w:hAnsi="Arial"/>
                <w:sz w:val="10"/>
                <w:szCs w:val="10"/>
                <w:b w:val="1"/>
                <w:bCs w:val="1"/>
                <w:color w:val="auto"/>
              </w:rPr>
              <w:t>Total liabilities and stockholders’</w:t>
            </w:r>
          </w:p>
        </w:tc>
        <w:tc>
          <w:tcPr>
            <w:tcW w:w="240" w:type="dxa"/>
            <w:vAlign w:val="bottom"/>
            <w:vMerge w:val="restart"/>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34,797,442</w:t>
            </w:r>
          </w:p>
        </w:tc>
        <w:tc>
          <w:tcPr>
            <w:tcW w:w="60" w:type="dxa"/>
            <w:vAlign w:val="bottom"/>
          </w:tcPr>
          <w:p>
            <w:pPr>
              <w:spacing w:after="0"/>
              <w:rPr>
                <w:sz w:val="10"/>
                <w:szCs w:val="10"/>
                <w:color w:val="auto"/>
              </w:rPr>
            </w:pPr>
          </w:p>
        </w:tc>
        <w:tc>
          <w:tcPr>
            <w:tcW w:w="2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34,012,965</w:t>
            </w:r>
          </w:p>
        </w:tc>
        <w:tc>
          <w:tcPr>
            <w:tcW w:w="80" w:type="dxa"/>
            <w:vAlign w:val="bottom"/>
          </w:tcPr>
          <w:p>
            <w:pPr>
              <w:spacing w:after="0"/>
              <w:rPr>
                <w:sz w:val="10"/>
                <w:szCs w:val="10"/>
                <w:color w:val="auto"/>
              </w:rPr>
            </w:pPr>
          </w:p>
        </w:tc>
        <w:tc>
          <w:tcPr>
            <w:tcW w:w="140" w:type="dxa"/>
            <w:vAlign w:val="bottom"/>
            <w:vMerge w:val="restart"/>
          </w:tcPr>
          <w:p>
            <w:pPr>
              <w:jc w:val="right"/>
              <w:ind w:right="32"/>
              <w:spacing w:after="0"/>
              <w:rPr>
                <w:sz w:val="20"/>
                <w:szCs w:val="20"/>
                <w:color w:val="auto"/>
              </w:rPr>
            </w:pPr>
            <w:r>
              <w:rPr>
                <w:rFonts w:ascii="Arial" w:cs="Arial" w:eastAsia="Arial" w:hAnsi="Arial"/>
                <w:sz w:val="10"/>
                <w:szCs w:val="10"/>
                <w:color w:val="auto"/>
                <w:w w:val="71"/>
              </w:rPr>
              <w:t>$</w:t>
            </w:r>
          </w:p>
        </w:tc>
        <w:tc>
          <w:tcPr>
            <w:tcW w:w="1320" w:type="dxa"/>
            <w:vAlign w:val="bottom"/>
            <w:vMerge w:val="restart"/>
          </w:tcPr>
          <w:p>
            <w:pPr>
              <w:jc w:val="right"/>
              <w:spacing w:after="0"/>
              <w:rPr>
                <w:sz w:val="20"/>
                <w:szCs w:val="20"/>
                <w:color w:val="auto"/>
              </w:rPr>
            </w:pPr>
            <w:r>
              <w:rPr>
                <w:rFonts w:ascii="Arial" w:cs="Arial" w:eastAsia="Arial" w:hAnsi="Arial"/>
                <w:sz w:val="10"/>
                <w:szCs w:val="10"/>
                <w:color w:val="auto"/>
              </w:rPr>
              <w:t>34,250,453</w:t>
            </w:r>
          </w:p>
        </w:tc>
        <w:tc>
          <w:tcPr>
            <w:tcW w:w="60" w:type="dxa"/>
            <w:vAlign w:val="bottom"/>
          </w:tcPr>
          <w:p>
            <w:pPr>
              <w:spacing w:after="0"/>
              <w:rPr>
                <w:sz w:val="10"/>
                <w:szCs w:val="10"/>
                <w:color w:val="auto"/>
              </w:rPr>
            </w:pPr>
          </w:p>
        </w:tc>
        <w:tc>
          <w:tcPr>
            <w:tcW w:w="3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0"/>
                <w:szCs w:val="10"/>
                <w:color w:val="auto"/>
              </w:rPr>
              <w:t>33,779,918</w:t>
            </w:r>
          </w:p>
        </w:tc>
        <w:tc>
          <w:tcPr>
            <w:tcW w:w="80" w:type="dxa"/>
            <w:vAlign w:val="bottom"/>
          </w:tcPr>
          <w:p>
            <w:pPr>
              <w:spacing w:after="0"/>
              <w:rPr>
                <w:sz w:val="10"/>
                <w:szCs w:val="10"/>
                <w:color w:val="auto"/>
              </w:rPr>
            </w:pPr>
          </w:p>
        </w:tc>
        <w:tc>
          <w:tcPr>
            <w:tcW w:w="240" w:type="dxa"/>
            <w:vAlign w:val="bottom"/>
            <w:vMerge w:val="restart"/>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33,542,864</w:t>
            </w:r>
          </w:p>
        </w:tc>
        <w:tc>
          <w:tcPr>
            <w:tcW w:w="0" w:type="dxa"/>
            <w:vAlign w:val="bottom"/>
          </w:tcPr>
          <w:p>
            <w:pPr>
              <w:spacing w:after="0"/>
              <w:rPr>
                <w:sz w:val="1"/>
                <w:szCs w:val="1"/>
                <w:color w:val="auto"/>
              </w:rPr>
            </w:pPr>
          </w:p>
        </w:tc>
      </w:tr>
      <w:tr>
        <w:trPr>
          <w:trHeight w:val="142"/>
        </w:trPr>
        <w:tc>
          <w:tcPr>
            <w:tcW w:w="3700" w:type="dxa"/>
            <w:vAlign w:val="bottom"/>
          </w:tcPr>
          <w:p>
            <w:pPr>
              <w:ind w:left="220"/>
              <w:spacing w:after="0"/>
              <w:rPr>
                <w:sz w:val="20"/>
                <w:szCs w:val="20"/>
                <w:color w:val="auto"/>
              </w:rPr>
            </w:pPr>
            <w:r>
              <w:rPr>
                <w:rFonts w:ascii="Arial" w:cs="Arial" w:eastAsia="Arial" w:hAnsi="Arial"/>
                <w:sz w:val="10"/>
                <w:szCs w:val="10"/>
                <w:b w:val="1"/>
                <w:bCs w:val="1"/>
                <w:color w:val="auto"/>
              </w:rPr>
              <w:t>equity</w:t>
            </w:r>
          </w:p>
        </w:tc>
        <w:tc>
          <w:tcPr>
            <w:tcW w:w="24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00" w:type="dxa"/>
            <w:vAlign w:val="bottom"/>
          </w:tcPr>
          <w:p>
            <w:pPr>
              <w:spacing w:after="0"/>
              <w:rPr>
                <w:sz w:val="20"/>
                <w:szCs w:val="20"/>
                <w:color w:val="auto"/>
              </w:rPr>
            </w:pPr>
            <w:r>
              <w:rPr>
                <w:rFonts w:ascii="Arial" w:cs="Arial" w:eastAsia="Arial" w:hAnsi="Arial"/>
                <w:sz w:val="10"/>
                <w:szCs w:val="10"/>
                <w:color w:val="auto"/>
              </w:rPr>
              <w:t>Common shares outstanding (1)</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155,533,403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155,522,693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157,647,137</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166,403,086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168,825,656</w:t>
            </w:r>
          </w:p>
        </w:tc>
        <w:tc>
          <w:tcPr>
            <w:tcW w:w="0" w:type="dxa"/>
            <w:vAlign w:val="bottom"/>
          </w:tcPr>
          <w:p>
            <w:pPr>
              <w:spacing w:after="0"/>
              <w:rPr>
                <w:sz w:val="1"/>
                <w:szCs w:val="1"/>
                <w:color w:val="auto"/>
              </w:rPr>
            </w:pPr>
          </w:p>
        </w:tc>
      </w:tr>
      <w:tr>
        <w:trPr>
          <w:trHeight w:val="197"/>
        </w:trPr>
        <w:tc>
          <w:tcPr>
            <w:tcW w:w="3700" w:type="dxa"/>
            <w:vAlign w:val="bottom"/>
          </w:tcPr>
          <w:p>
            <w:pPr>
              <w:spacing w:after="0"/>
              <w:rPr>
                <w:sz w:val="20"/>
                <w:szCs w:val="20"/>
                <w:color w:val="auto"/>
              </w:rPr>
            </w:pPr>
            <w:r>
              <w:rPr>
                <w:rFonts w:ascii="Arial" w:cs="Arial" w:eastAsia="Arial" w:hAnsi="Arial"/>
                <w:sz w:val="12"/>
                <w:szCs w:val="12"/>
                <w:color w:val="001B2C"/>
              </w:rPr>
              <w:t>______________</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8" w:right="6600" w:hanging="8"/>
        <w:spacing w:after="0" w:line="704" w:lineRule="auto"/>
        <w:tabs>
          <w:tab w:leader="none" w:pos="152" w:val="left"/>
        </w:tabs>
        <w:numPr>
          <w:ilvl w:val="0"/>
          <w:numId w:val="10"/>
        </w:numPr>
        <w:rPr>
          <w:rFonts w:ascii="Arial" w:cs="Arial" w:eastAsia="Arial" w:hAnsi="Arial"/>
          <w:sz w:val="10"/>
          <w:szCs w:val="10"/>
          <w:color w:val="6D6D6D"/>
        </w:rPr>
      </w:pPr>
      <w:r>
        <w:rPr>
          <w:rFonts w:ascii="Arial" w:cs="Arial" w:eastAsia="Arial" w:hAnsi="Arial"/>
          <w:sz w:val="10"/>
          <w:szCs w:val="10"/>
          <w:color w:val="6D6D6D"/>
        </w:rPr>
        <w:t xml:space="preserve">Common shares outstanding include non-voting common stock equivalents that are participating securities. </w:t>
      </w:r>
      <w:r>
        <w:rPr>
          <w:rFonts w:ascii="Arial" w:cs="Arial" w:eastAsia="Arial" w:hAnsi="Arial"/>
          <w:sz w:val="1"/>
          <w:szCs w:val="1"/>
          <w:color w:val="6D6D6D"/>
        </w:rPr>
        <w:drawing>
          <wp:inline distT="0" distB="0" distL="0" distR="0">
            <wp:extent cx="548640" cy="1428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8640" cy="142875"/>
                    </a:xfrm>
                    <a:prstGeom prst="rect">
                      <a:avLst/>
                    </a:prstGeom>
                    <a:noFill/>
                    <a:ln>
                      <a:noFill/>
                    </a:ln>
                  </pic:spPr>
                </pic:pic>
              </a:graphicData>
            </a:graphic>
          </wp:inline>
        </w:drawing>
      </w:r>
      <w:r>
        <w:rPr>
          <w:rFonts w:ascii="Arial" w:cs="Arial" w:eastAsia="Arial" w:hAnsi="Arial"/>
          <w:sz w:val="10"/>
          <w:szCs w:val="10"/>
          <w:color w:val="001B2C"/>
        </w:rPr>
        <w:t xml:space="preserve"> 19</w:t>
      </w:r>
    </w:p>
    <w:p>
      <w:pPr>
        <w:sectPr>
          <w:pgSz w:w="11900" w:h="16838" w:orient="portrait"/>
          <w:cols w:equalWidth="0" w:num="1">
            <w:col w:w="11288"/>
          </w:cols>
          <w:pgMar w:left="292" w:top="907" w:right="319" w:bottom="1440" w:gutter="0" w:footer="0" w:header="0"/>
        </w:sectPr>
      </w:pPr>
    </w:p>
    <w:bookmarkStart w:id="23" w:name="page24"/>
    <w:bookmarkEnd w:id="23"/>
    <w:p>
      <w:pPr>
        <w:ind w:left="8"/>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CONSOLIDATED STATEMENTS OF EARNINGS (UNAUDITED)</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4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2"/>
          </w:tcPr>
          <w:p>
            <w:pPr>
              <w:jc w:val="right"/>
              <w:ind w:right="152"/>
              <w:spacing w:after="0"/>
              <w:rPr>
                <w:sz w:val="20"/>
                <w:szCs w:val="20"/>
                <w:color w:val="auto"/>
              </w:rPr>
            </w:pPr>
            <w:r>
              <w:rPr>
                <w:rFonts w:ascii="Arial" w:cs="Arial" w:eastAsia="Arial" w:hAnsi="Arial"/>
                <w:sz w:val="10"/>
                <w:szCs w:val="10"/>
                <w:b w:val="1"/>
                <w:bCs w:val="1"/>
                <w:color w:val="auto"/>
              </w:rPr>
              <w:t>Year Ended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160"/>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10"/>
                <w:szCs w:val="1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September 30,</w:t>
            </w:r>
          </w:p>
        </w:tc>
        <w:tc>
          <w:tcPr>
            <w:tcW w:w="220" w:type="dxa"/>
            <w:vAlign w:val="bottom"/>
          </w:tcPr>
          <w:p>
            <w:pPr>
              <w:spacing w:after="0"/>
              <w:rPr>
                <w:sz w:val="10"/>
                <w:szCs w:val="1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December 31,</w:t>
            </w:r>
          </w:p>
        </w:tc>
        <w:tc>
          <w:tcPr>
            <w:tcW w:w="4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192"/>
              <w:spacing w:after="0"/>
              <w:rPr>
                <w:sz w:val="20"/>
                <w:szCs w:val="20"/>
                <w:color w:val="auto"/>
              </w:rPr>
            </w:pPr>
            <w:r>
              <w:rPr>
                <w:rFonts w:ascii="Arial" w:cs="Arial" w:eastAsia="Arial" w:hAnsi="Arial"/>
                <w:sz w:val="10"/>
                <w:szCs w:val="10"/>
                <w:b w:val="1"/>
                <w:bCs w:val="1"/>
                <w:color w:val="auto"/>
                <w:w w:val="98"/>
              </w:rPr>
              <w:t>2024</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23"/>
        </w:trPr>
        <w:tc>
          <w:tcPr>
            <w:tcW w:w="4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20" w:type="dxa"/>
            <w:vAlign w:val="bottom"/>
            <w:gridSpan w:val="6"/>
          </w:tcPr>
          <w:p>
            <w:pPr>
              <w:jc w:val="center"/>
              <w:ind w:left="772"/>
              <w:spacing w:after="0"/>
              <w:rPr>
                <w:sz w:val="20"/>
                <w:szCs w:val="20"/>
                <w:color w:val="auto"/>
              </w:rPr>
            </w:pPr>
            <w:r>
              <w:rPr>
                <w:rFonts w:ascii="Arial" w:cs="Arial" w:eastAsia="Arial" w:hAnsi="Arial"/>
                <w:sz w:val="10"/>
                <w:szCs w:val="10"/>
                <w:b w:val="1"/>
                <w:bCs w:val="1"/>
                <w:i w:val="1"/>
                <w:iCs w:val="1"/>
                <w:color w:val="auto"/>
                <w:w w:val="95"/>
              </w:rPr>
              <w:t>(In thousands, except per share amounts)</w:t>
            </w: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b w:val="1"/>
                <w:bCs w:val="1"/>
                <w:color w:val="auto"/>
              </w:rPr>
              <w:t>Interest income:</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20"/>
                <w:szCs w:val="20"/>
                <w:color w:val="auto"/>
              </w:rPr>
            </w:pPr>
            <w:r>
              <w:rPr>
                <w:rFonts w:ascii="Arial" w:cs="Arial" w:eastAsia="Arial" w:hAnsi="Arial"/>
                <w:sz w:val="10"/>
                <w:szCs w:val="10"/>
                <w:color w:val="auto"/>
              </w:rPr>
              <w:t>Loans and leases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359,268</w:t>
            </w:r>
          </w:p>
        </w:tc>
        <w:tc>
          <w:tcPr>
            <w:tcW w:w="6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372,723</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357,303</w:t>
            </w:r>
          </w:p>
        </w:tc>
        <w:tc>
          <w:tcPr>
            <w:tcW w:w="60" w:type="dxa"/>
            <w:vAlign w:val="bottom"/>
          </w:tcPr>
          <w:p>
            <w:pPr>
              <w:spacing w:after="0"/>
              <w:rPr>
                <w:sz w:val="11"/>
                <w:szCs w:val="11"/>
                <w:color w:val="auto"/>
              </w:rPr>
            </w:pPr>
          </w:p>
        </w:tc>
        <w:tc>
          <w:tcPr>
            <w:tcW w:w="40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1,440,397</w:t>
            </w:r>
          </w:p>
        </w:tc>
        <w:tc>
          <w:tcPr>
            <w:tcW w:w="46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1,501,534</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Investment securities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39,557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38,291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37,743</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153,326</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140,794</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Deposits in financial institutions</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18,123</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21,527</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29,473</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82,930</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170,377</w:t>
            </w:r>
          </w:p>
        </w:tc>
        <w:tc>
          <w:tcPr>
            <w:tcW w:w="0" w:type="dxa"/>
            <w:vAlign w:val="bottom"/>
          </w:tcPr>
          <w:p>
            <w:pPr>
              <w:spacing w:after="0"/>
              <w:rPr>
                <w:sz w:val="1"/>
                <w:szCs w:val="1"/>
                <w:color w:val="auto"/>
              </w:rPr>
            </w:pPr>
          </w:p>
        </w:tc>
      </w:tr>
      <w:tr>
        <w:trPr>
          <w:trHeight w:val="124"/>
        </w:trPr>
        <w:tc>
          <w:tcPr>
            <w:tcW w:w="4220" w:type="dxa"/>
            <w:vAlign w:val="bottom"/>
          </w:tcPr>
          <w:p>
            <w:pPr>
              <w:ind w:left="80"/>
              <w:spacing w:after="0"/>
              <w:rPr>
                <w:sz w:val="20"/>
                <w:szCs w:val="20"/>
                <w:color w:val="auto"/>
              </w:rPr>
            </w:pPr>
            <w:r>
              <w:rPr>
                <w:rFonts w:ascii="Arial" w:cs="Arial" w:eastAsia="Arial" w:hAnsi="Arial"/>
                <w:sz w:val="10"/>
                <w:szCs w:val="10"/>
                <w:color w:val="auto"/>
              </w:rPr>
              <w:t>Total interest income</w:t>
            </w: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416,948</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432,541</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424,519</w:t>
            </w:r>
          </w:p>
        </w:tc>
        <w:tc>
          <w:tcPr>
            <w:tcW w:w="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1,676,653</w:t>
            </w:r>
          </w:p>
        </w:tc>
        <w:tc>
          <w:tcPr>
            <w:tcW w:w="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1,812,705</w:t>
            </w:r>
          </w:p>
        </w:tc>
        <w:tc>
          <w:tcPr>
            <w:tcW w:w="0" w:type="dxa"/>
            <w:vAlign w:val="bottom"/>
          </w:tcPr>
          <w:p>
            <w:pPr>
              <w:spacing w:after="0"/>
              <w:rPr>
                <w:sz w:val="1"/>
                <w:szCs w:val="1"/>
                <w:color w:val="auto"/>
              </w:rPr>
            </w:pPr>
          </w:p>
        </w:tc>
      </w:tr>
      <w:tr>
        <w:trPr>
          <w:trHeight w:val="119"/>
        </w:trPr>
        <w:tc>
          <w:tcPr>
            <w:tcW w:w="4220" w:type="dxa"/>
            <w:vAlign w:val="bottom"/>
          </w:tcPr>
          <w:p>
            <w:pPr>
              <w:spacing w:after="0"/>
              <w:rPr>
                <w:sz w:val="20"/>
                <w:szCs w:val="20"/>
                <w:color w:val="auto"/>
              </w:rPr>
            </w:pPr>
            <w:r>
              <w:rPr>
                <w:rFonts w:ascii="Arial" w:cs="Arial" w:eastAsia="Arial" w:hAnsi="Arial"/>
                <w:sz w:val="10"/>
                <w:szCs w:val="10"/>
                <w:b w:val="1"/>
                <w:bCs w:val="1"/>
                <w:color w:val="auto"/>
              </w:rPr>
              <w:t>Interest expense:</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20"/>
                <w:szCs w:val="20"/>
                <w:color w:val="auto"/>
              </w:rPr>
            </w:pPr>
            <w:r>
              <w:rPr>
                <w:rFonts w:ascii="Arial" w:cs="Arial" w:eastAsia="Arial" w:hAnsi="Arial"/>
                <w:sz w:val="10"/>
                <w:szCs w:val="10"/>
                <w:color w:val="auto"/>
              </w:rPr>
              <w:t>Deposits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129,896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143,074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154,085</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558,440</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715,984</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Borrowings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19,858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20,461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18,993</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78,761</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104,398</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Subordinated debt</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15,832</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15,562</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16,156</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62,066</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66,273</w:t>
            </w:r>
          </w:p>
        </w:tc>
        <w:tc>
          <w:tcPr>
            <w:tcW w:w="0" w:type="dxa"/>
            <w:vAlign w:val="bottom"/>
          </w:tcPr>
          <w:p>
            <w:pPr>
              <w:spacing w:after="0"/>
              <w:rPr>
                <w:sz w:val="1"/>
                <w:szCs w:val="1"/>
                <w:color w:val="auto"/>
              </w:rPr>
            </w:pPr>
          </w:p>
        </w:tc>
      </w:tr>
      <w:tr>
        <w:trPr>
          <w:trHeight w:val="124"/>
        </w:trPr>
        <w:tc>
          <w:tcPr>
            <w:tcW w:w="4220" w:type="dxa"/>
            <w:vAlign w:val="bottom"/>
          </w:tcPr>
          <w:p>
            <w:pPr>
              <w:ind w:left="80"/>
              <w:spacing w:after="0"/>
              <w:rPr>
                <w:sz w:val="20"/>
                <w:szCs w:val="20"/>
                <w:color w:val="auto"/>
              </w:rPr>
            </w:pPr>
            <w:r>
              <w:rPr>
                <w:rFonts w:ascii="Arial" w:cs="Arial" w:eastAsia="Arial" w:hAnsi="Arial"/>
                <w:sz w:val="10"/>
                <w:szCs w:val="10"/>
                <w:color w:val="auto"/>
              </w:rPr>
              <w:t>Total interest expense</w:t>
            </w: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165,586</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179,097</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189,234</w:t>
            </w:r>
          </w:p>
        </w:tc>
        <w:tc>
          <w:tcPr>
            <w:tcW w:w="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699,267</w:t>
            </w:r>
          </w:p>
        </w:tc>
        <w:tc>
          <w:tcPr>
            <w:tcW w:w="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886,655</w:t>
            </w:r>
          </w:p>
        </w:tc>
        <w:tc>
          <w:tcPr>
            <w:tcW w:w="0" w:type="dxa"/>
            <w:vAlign w:val="bottom"/>
          </w:tcPr>
          <w:p>
            <w:pPr>
              <w:spacing w:after="0"/>
              <w:rPr>
                <w:sz w:val="1"/>
                <w:szCs w:val="1"/>
                <w:color w:val="auto"/>
              </w:rPr>
            </w:pPr>
          </w:p>
        </w:tc>
      </w:tr>
      <w:tr>
        <w:trPr>
          <w:trHeight w:val="128"/>
        </w:trPr>
        <w:tc>
          <w:tcPr>
            <w:tcW w:w="4220" w:type="dxa"/>
            <w:vAlign w:val="bottom"/>
          </w:tcPr>
          <w:p>
            <w:pPr>
              <w:ind w:left="140"/>
              <w:spacing w:after="0"/>
              <w:rPr>
                <w:sz w:val="20"/>
                <w:szCs w:val="20"/>
                <w:color w:val="auto"/>
              </w:rPr>
            </w:pPr>
            <w:r>
              <w:rPr>
                <w:rFonts w:ascii="Arial" w:cs="Arial" w:eastAsia="Arial" w:hAnsi="Arial"/>
                <w:sz w:val="10"/>
                <w:szCs w:val="10"/>
                <w:b w:val="1"/>
                <w:bCs w:val="1"/>
                <w:color w:val="auto"/>
              </w:rPr>
              <w:t>Net interest income</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251,362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253,444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235,285</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977,386</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926,050</w:t>
            </w:r>
          </w:p>
        </w:tc>
        <w:tc>
          <w:tcPr>
            <w:tcW w:w="0" w:type="dxa"/>
            <w:vAlign w:val="bottom"/>
          </w:tcPr>
          <w:p>
            <w:pPr>
              <w:spacing w:after="0"/>
              <w:rPr>
                <w:sz w:val="1"/>
                <w:szCs w:val="1"/>
                <w:color w:val="auto"/>
              </w:rPr>
            </w:pPr>
          </w:p>
        </w:tc>
      </w:tr>
      <w:tr>
        <w:trPr>
          <w:trHeight w:val="131"/>
        </w:trPr>
        <w:tc>
          <w:tcPr>
            <w:tcW w:w="4220" w:type="dxa"/>
            <w:vAlign w:val="bottom"/>
          </w:tcPr>
          <w:p>
            <w:pPr>
              <w:spacing w:after="0"/>
              <w:rPr>
                <w:sz w:val="20"/>
                <w:szCs w:val="20"/>
                <w:color w:val="auto"/>
              </w:rPr>
            </w:pPr>
            <w:r>
              <w:rPr>
                <w:rFonts w:ascii="Arial" w:cs="Arial" w:eastAsia="Arial" w:hAnsi="Arial"/>
                <w:sz w:val="10"/>
                <w:szCs w:val="10"/>
                <w:color w:val="auto"/>
              </w:rPr>
              <w:t>Provision for credit losses</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12,500</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9,700</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12,801</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70,600</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42,801</w:t>
            </w:r>
          </w:p>
        </w:tc>
        <w:tc>
          <w:tcPr>
            <w:tcW w:w="0" w:type="dxa"/>
            <w:vAlign w:val="bottom"/>
          </w:tcPr>
          <w:p>
            <w:pPr>
              <w:spacing w:after="0"/>
              <w:rPr>
                <w:sz w:val="1"/>
                <w:szCs w:val="1"/>
                <w:color w:val="auto"/>
              </w:rPr>
            </w:pPr>
          </w:p>
        </w:tc>
      </w:tr>
      <w:tr>
        <w:trPr>
          <w:trHeight w:val="115"/>
        </w:trPr>
        <w:tc>
          <w:tcPr>
            <w:tcW w:w="4220" w:type="dxa"/>
            <w:vAlign w:val="bottom"/>
          </w:tcPr>
          <w:p>
            <w:pPr>
              <w:ind w:left="140"/>
              <w:spacing w:after="0"/>
              <w:rPr>
                <w:sz w:val="20"/>
                <w:szCs w:val="20"/>
                <w:color w:val="auto"/>
              </w:rPr>
            </w:pPr>
            <w:r>
              <w:rPr>
                <w:rFonts w:ascii="Arial" w:cs="Arial" w:eastAsia="Arial" w:hAnsi="Arial"/>
                <w:sz w:val="10"/>
                <w:szCs w:val="10"/>
                <w:color w:val="auto"/>
              </w:rPr>
              <w:t>Net interest income after provision</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20" w:type="dxa"/>
            <w:vAlign w:val="bottom"/>
          </w:tcPr>
          <w:p>
            <w:pPr>
              <w:ind w:left="220"/>
              <w:spacing w:after="0"/>
              <w:rPr>
                <w:sz w:val="20"/>
                <w:szCs w:val="20"/>
                <w:color w:val="auto"/>
              </w:rPr>
            </w:pPr>
            <w:r>
              <w:rPr>
                <w:rFonts w:ascii="Arial" w:cs="Arial" w:eastAsia="Arial" w:hAnsi="Arial"/>
                <w:sz w:val="10"/>
                <w:szCs w:val="10"/>
                <w:color w:val="auto"/>
              </w:rPr>
              <w:t>for credit losses</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238,862</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243,744</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222,484</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906,786</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883,249</w:t>
            </w:r>
          </w:p>
        </w:tc>
        <w:tc>
          <w:tcPr>
            <w:tcW w:w="0" w:type="dxa"/>
            <w:vAlign w:val="bottom"/>
          </w:tcPr>
          <w:p>
            <w:pPr>
              <w:spacing w:after="0"/>
              <w:rPr>
                <w:sz w:val="1"/>
                <w:szCs w:val="1"/>
                <w:color w:val="auto"/>
              </w:rPr>
            </w:pPr>
          </w:p>
        </w:tc>
      </w:tr>
      <w:tr>
        <w:trPr>
          <w:trHeight w:val="119"/>
        </w:trPr>
        <w:tc>
          <w:tcPr>
            <w:tcW w:w="4220" w:type="dxa"/>
            <w:vAlign w:val="bottom"/>
          </w:tcPr>
          <w:p>
            <w:pPr>
              <w:spacing w:after="0"/>
              <w:rPr>
                <w:sz w:val="20"/>
                <w:szCs w:val="20"/>
                <w:color w:val="auto"/>
              </w:rPr>
            </w:pPr>
            <w:r>
              <w:rPr>
                <w:rFonts w:ascii="Arial" w:cs="Arial" w:eastAsia="Arial" w:hAnsi="Arial"/>
                <w:sz w:val="10"/>
                <w:szCs w:val="10"/>
                <w:b w:val="1"/>
                <w:bCs w:val="1"/>
                <w:color w:val="auto"/>
              </w:rPr>
              <w:t>Noninterest income:</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20"/>
                <w:szCs w:val="20"/>
                <w:color w:val="auto"/>
              </w:rPr>
            </w:pPr>
            <w:r>
              <w:rPr>
                <w:rFonts w:ascii="Arial" w:cs="Arial" w:eastAsia="Arial" w:hAnsi="Arial"/>
                <w:sz w:val="10"/>
                <w:szCs w:val="10"/>
                <w:color w:val="auto"/>
              </w:rPr>
              <w:t>Service charges on deposit accounts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5,038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5,109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4,770</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19,146</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18,583</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Commissions and fees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9,524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9,514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8,231</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38,637</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33,258</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Leased equipment income</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16,381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10,321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10,730</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47,717</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51,109</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Gain (loss) on sale of loans and leases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18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(374)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20</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Arial" w:cs="Arial" w:eastAsia="Arial" w:hAnsi="Arial"/>
                <w:sz w:val="10"/>
                <w:szCs w:val="10"/>
                <w:color w:val="auto"/>
              </w:rPr>
              <w:t>(115)</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645</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Loss on sale of securities</w:t>
            </w:r>
          </w:p>
        </w:tc>
        <w:tc>
          <w:tcPr>
            <w:tcW w:w="20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(454)</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(60,400)</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Dividends and gains on equity investments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3,492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2,291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7,992</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7,982</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Warrant income</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361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433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343</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1,726</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408</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LOCOM HFS adjustment</w:t>
            </w:r>
          </w:p>
        </w:tc>
        <w:tc>
          <w:tcPr>
            <w:tcW w:w="20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Arial" w:cs="Arial" w:eastAsia="Arial" w:hAnsi="Arial"/>
                <w:sz w:val="10"/>
                <w:szCs w:val="10"/>
                <w:color w:val="auto"/>
              </w:rPr>
              <w:t>(9)</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215</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Other income</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6,757</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6,991</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5,334</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27,045</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25,345</w:t>
            </w:r>
          </w:p>
        </w:tc>
        <w:tc>
          <w:tcPr>
            <w:tcW w:w="0" w:type="dxa"/>
            <w:vAlign w:val="bottom"/>
          </w:tcPr>
          <w:p>
            <w:pPr>
              <w:spacing w:after="0"/>
              <w:rPr>
                <w:sz w:val="1"/>
                <w:szCs w:val="1"/>
                <w:color w:val="auto"/>
              </w:rPr>
            </w:pPr>
          </w:p>
        </w:tc>
      </w:tr>
      <w:tr>
        <w:trPr>
          <w:trHeight w:val="124"/>
        </w:trPr>
        <w:tc>
          <w:tcPr>
            <w:tcW w:w="4220" w:type="dxa"/>
            <w:vAlign w:val="bottom"/>
          </w:tcPr>
          <w:p>
            <w:pPr>
              <w:ind w:left="140"/>
              <w:spacing w:after="0"/>
              <w:rPr>
                <w:sz w:val="20"/>
                <w:szCs w:val="20"/>
                <w:color w:val="auto"/>
              </w:rPr>
            </w:pPr>
            <w:r>
              <w:rPr>
                <w:rFonts w:ascii="Arial" w:cs="Arial" w:eastAsia="Arial" w:hAnsi="Arial"/>
                <w:sz w:val="10"/>
                <w:szCs w:val="10"/>
                <w:color w:val="auto"/>
              </w:rPr>
              <w:t>Total noninterest income</w:t>
            </w: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41,571</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34,285</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28,989</w:t>
            </w:r>
          </w:p>
        </w:tc>
        <w:tc>
          <w:tcPr>
            <w:tcW w:w="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142,139</w:t>
            </w:r>
          </w:p>
        </w:tc>
        <w:tc>
          <w:tcPr>
            <w:tcW w:w="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77,145</w:t>
            </w:r>
          </w:p>
        </w:tc>
        <w:tc>
          <w:tcPr>
            <w:tcW w:w="0" w:type="dxa"/>
            <w:vAlign w:val="bottom"/>
          </w:tcPr>
          <w:p>
            <w:pPr>
              <w:spacing w:after="0"/>
              <w:rPr>
                <w:sz w:val="1"/>
                <w:szCs w:val="1"/>
                <w:color w:val="auto"/>
              </w:rPr>
            </w:pPr>
          </w:p>
        </w:tc>
      </w:tr>
      <w:tr>
        <w:trPr>
          <w:trHeight w:val="119"/>
        </w:trPr>
        <w:tc>
          <w:tcPr>
            <w:tcW w:w="4220" w:type="dxa"/>
            <w:vAlign w:val="bottom"/>
          </w:tcPr>
          <w:p>
            <w:pPr>
              <w:spacing w:after="0"/>
              <w:rPr>
                <w:sz w:val="20"/>
                <w:szCs w:val="20"/>
                <w:color w:val="auto"/>
              </w:rPr>
            </w:pPr>
            <w:r>
              <w:rPr>
                <w:rFonts w:ascii="Arial" w:cs="Arial" w:eastAsia="Arial" w:hAnsi="Arial"/>
                <w:sz w:val="10"/>
                <w:szCs w:val="10"/>
                <w:b w:val="1"/>
                <w:bCs w:val="1"/>
                <w:color w:val="auto"/>
              </w:rPr>
              <w:t>Noninterest expense:</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20"/>
                <w:szCs w:val="20"/>
                <w:color w:val="auto"/>
              </w:rPr>
            </w:pPr>
            <w:r>
              <w:rPr>
                <w:rFonts w:ascii="Arial" w:cs="Arial" w:eastAsia="Arial" w:hAnsi="Arial"/>
                <w:sz w:val="10"/>
                <w:szCs w:val="10"/>
                <w:color w:val="auto"/>
              </w:rPr>
              <w:t>Compensation</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85,862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88,865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77,661</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349,506</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341,396</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Occupancy</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14,726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15,415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15,678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60,624</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67,993</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Information technology and data processing</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13,751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13,535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14,546</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55,458</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60,418</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Other professional services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6,774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5,394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5,498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23,087</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20,857</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Insurance and assessments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7,070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8,994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11,179</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32,750</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70,779</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Intangible asset amortization</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6,788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7,160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7,770</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28,267</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33,143</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Leased equipment depreciation</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6,202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6,750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7,096</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26,393</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29,271</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Acquisition, integration and reorganization costs</w:t>
            </w:r>
          </w:p>
        </w:tc>
        <w:tc>
          <w:tcPr>
            <w:tcW w:w="200" w:type="dxa"/>
            <w:vAlign w:val="bottom"/>
          </w:tcPr>
          <w:p>
            <w:pPr>
              <w:spacing w:after="0"/>
              <w:rPr>
                <w:sz w:val="11"/>
                <w:szCs w:val="1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(1,023)</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(14,183)</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Customer related expense</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24,870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26,227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31,672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105,425</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129,471</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Loan expense</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4,445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4,947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4,489</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16,372</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17,306</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Other expense</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10,156</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8,397</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6,804</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37,968</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35,289</w:t>
            </w:r>
          </w:p>
        </w:tc>
        <w:tc>
          <w:tcPr>
            <w:tcW w:w="0" w:type="dxa"/>
            <w:vAlign w:val="bottom"/>
          </w:tcPr>
          <w:p>
            <w:pPr>
              <w:spacing w:after="0"/>
              <w:rPr>
                <w:sz w:val="1"/>
                <w:szCs w:val="1"/>
                <w:color w:val="auto"/>
              </w:rPr>
            </w:pPr>
          </w:p>
        </w:tc>
      </w:tr>
      <w:tr>
        <w:trPr>
          <w:trHeight w:val="124"/>
        </w:trPr>
        <w:tc>
          <w:tcPr>
            <w:tcW w:w="4220" w:type="dxa"/>
            <w:vAlign w:val="bottom"/>
          </w:tcPr>
          <w:p>
            <w:pPr>
              <w:ind w:left="140"/>
              <w:spacing w:after="0"/>
              <w:rPr>
                <w:sz w:val="20"/>
                <w:szCs w:val="20"/>
                <w:color w:val="auto"/>
              </w:rPr>
            </w:pPr>
            <w:r>
              <w:rPr>
                <w:rFonts w:ascii="Arial" w:cs="Arial" w:eastAsia="Arial" w:hAnsi="Arial"/>
                <w:sz w:val="10"/>
                <w:szCs w:val="10"/>
                <w:color w:val="auto"/>
              </w:rPr>
              <w:t>Total noninterest expense</w:t>
            </w: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180,644</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185,684</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181,370</w:t>
            </w:r>
          </w:p>
        </w:tc>
        <w:tc>
          <w:tcPr>
            <w:tcW w:w="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735,850</w:t>
            </w:r>
          </w:p>
        </w:tc>
        <w:tc>
          <w:tcPr>
            <w:tcW w:w="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791,740</w:t>
            </w:r>
          </w:p>
        </w:tc>
        <w:tc>
          <w:tcPr>
            <w:tcW w:w="0" w:type="dxa"/>
            <w:vAlign w:val="bottom"/>
          </w:tcPr>
          <w:p>
            <w:pPr>
              <w:spacing w:after="0"/>
              <w:rPr>
                <w:sz w:val="1"/>
                <w:szCs w:val="1"/>
                <w:color w:val="auto"/>
              </w:rPr>
            </w:pPr>
          </w:p>
        </w:tc>
      </w:tr>
      <w:tr>
        <w:trPr>
          <w:trHeight w:val="124"/>
        </w:trPr>
        <w:tc>
          <w:tcPr>
            <w:tcW w:w="4220" w:type="dxa"/>
            <w:vAlign w:val="bottom"/>
          </w:tcPr>
          <w:p>
            <w:pPr>
              <w:spacing w:after="0"/>
              <w:rPr>
                <w:sz w:val="20"/>
                <w:szCs w:val="20"/>
                <w:color w:val="auto"/>
              </w:rPr>
            </w:pPr>
            <w:r>
              <w:rPr>
                <w:rFonts w:ascii="Arial" w:cs="Arial" w:eastAsia="Arial" w:hAnsi="Arial"/>
                <w:sz w:val="10"/>
                <w:szCs w:val="10"/>
                <w:color w:val="auto"/>
              </w:rPr>
              <w:t>Earnings before income taxes</w:t>
            </w:r>
          </w:p>
        </w:tc>
        <w:tc>
          <w:tcPr>
            <w:tcW w:w="200" w:type="dxa"/>
            <w:vAlign w:val="bottom"/>
          </w:tcPr>
          <w:p>
            <w:pPr>
              <w:spacing w:after="0"/>
              <w:rPr>
                <w:sz w:val="10"/>
                <w:szCs w:val="10"/>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99,789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92,345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70,103</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313,075</w:t>
            </w:r>
          </w:p>
        </w:tc>
        <w:tc>
          <w:tcPr>
            <w:tcW w:w="4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168,654</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Income tax expense</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22,398</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22,716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13,184</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84,102</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41,766</w:t>
            </w:r>
          </w:p>
        </w:tc>
        <w:tc>
          <w:tcPr>
            <w:tcW w:w="0" w:type="dxa"/>
            <w:vAlign w:val="bottom"/>
          </w:tcPr>
          <w:p>
            <w:pPr>
              <w:spacing w:after="0"/>
              <w:rPr>
                <w:sz w:val="1"/>
                <w:szCs w:val="1"/>
                <w:color w:val="auto"/>
              </w:rPr>
            </w:pPr>
          </w:p>
        </w:tc>
      </w:tr>
      <w:tr>
        <w:trPr>
          <w:trHeight w:val="128"/>
        </w:trPr>
        <w:tc>
          <w:tcPr>
            <w:tcW w:w="4220" w:type="dxa"/>
            <w:vAlign w:val="bottom"/>
          </w:tcPr>
          <w:p>
            <w:pPr>
              <w:ind w:left="140"/>
              <w:spacing w:after="0"/>
              <w:rPr>
                <w:sz w:val="20"/>
                <w:szCs w:val="20"/>
                <w:color w:val="auto"/>
              </w:rPr>
            </w:pPr>
            <w:r>
              <w:rPr>
                <w:rFonts w:ascii="Arial" w:cs="Arial" w:eastAsia="Arial" w:hAnsi="Arial"/>
                <w:sz w:val="10"/>
                <w:szCs w:val="10"/>
                <w:b w:val="1"/>
                <w:bCs w:val="1"/>
                <w:color w:val="auto"/>
              </w:rPr>
              <w:t>Net earnings</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77,391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69,629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56,919</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228,973</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126,888</w:t>
            </w:r>
          </w:p>
        </w:tc>
        <w:tc>
          <w:tcPr>
            <w:tcW w:w="0" w:type="dxa"/>
            <w:vAlign w:val="bottom"/>
          </w:tcPr>
          <w:p>
            <w:pPr>
              <w:spacing w:after="0"/>
              <w:rPr>
                <w:sz w:val="1"/>
                <w:szCs w:val="1"/>
                <w:color w:val="auto"/>
              </w:rPr>
            </w:pPr>
          </w:p>
        </w:tc>
      </w:tr>
      <w:tr>
        <w:trPr>
          <w:trHeight w:val="131"/>
        </w:trPr>
        <w:tc>
          <w:tcPr>
            <w:tcW w:w="4220" w:type="dxa"/>
            <w:vAlign w:val="bottom"/>
          </w:tcPr>
          <w:p>
            <w:pPr>
              <w:spacing w:after="0"/>
              <w:rPr>
                <w:sz w:val="20"/>
                <w:szCs w:val="20"/>
                <w:color w:val="auto"/>
              </w:rPr>
            </w:pPr>
            <w:r>
              <w:rPr>
                <w:rFonts w:ascii="Arial" w:cs="Arial" w:eastAsia="Arial" w:hAnsi="Arial"/>
                <w:sz w:val="10"/>
                <w:szCs w:val="10"/>
                <w:color w:val="auto"/>
              </w:rPr>
              <w:t>Preferred stock dividends</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9,947</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9,947</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9,947</w:t>
            </w: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39,788</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39,788</w:t>
            </w:r>
          </w:p>
        </w:tc>
        <w:tc>
          <w:tcPr>
            <w:tcW w:w="0" w:type="dxa"/>
            <w:vAlign w:val="bottom"/>
          </w:tcPr>
          <w:p>
            <w:pPr>
              <w:spacing w:after="0"/>
              <w:rPr>
                <w:sz w:val="1"/>
                <w:szCs w:val="1"/>
                <w:color w:val="auto"/>
              </w:rPr>
            </w:pPr>
          </w:p>
        </w:tc>
      </w:tr>
      <w:tr>
        <w:trPr>
          <w:trHeight w:val="119"/>
        </w:trPr>
        <w:tc>
          <w:tcPr>
            <w:tcW w:w="4220" w:type="dxa"/>
            <w:vAlign w:val="bottom"/>
          </w:tcPr>
          <w:p>
            <w:pPr>
              <w:ind w:left="140"/>
              <w:spacing w:after="0"/>
              <w:rPr>
                <w:sz w:val="20"/>
                <w:szCs w:val="20"/>
                <w:color w:val="auto"/>
              </w:rPr>
            </w:pPr>
            <w:r>
              <w:rPr>
                <w:rFonts w:ascii="Arial" w:cs="Arial" w:eastAsia="Arial" w:hAnsi="Arial"/>
                <w:sz w:val="10"/>
                <w:szCs w:val="10"/>
                <w:b w:val="1"/>
                <w:bCs w:val="1"/>
                <w:color w:val="auto"/>
              </w:rPr>
              <w:t>Net earnings available to common</w:t>
            </w:r>
          </w:p>
        </w:tc>
        <w:tc>
          <w:tcPr>
            <w:tcW w:w="200" w:type="dxa"/>
            <w:vAlign w:val="bottom"/>
            <w:vMerge w:val="restart"/>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vMerge w:val="restart"/>
          </w:tcPr>
          <w:p>
            <w:pPr>
              <w:jc w:val="right"/>
              <w:ind w:right="12"/>
              <w:spacing w:after="0"/>
              <w:rPr>
                <w:sz w:val="20"/>
                <w:szCs w:val="20"/>
                <w:color w:val="auto"/>
              </w:rPr>
            </w:pPr>
            <w:r>
              <w:rPr>
                <w:rFonts w:ascii="Arial" w:cs="Arial" w:eastAsia="Arial" w:hAnsi="Arial"/>
                <w:sz w:val="10"/>
                <w:szCs w:val="10"/>
                <w:color w:val="auto"/>
              </w:rPr>
              <w:t>67,444</w:t>
            </w:r>
          </w:p>
        </w:tc>
        <w:tc>
          <w:tcPr>
            <w:tcW w:w="60" w:type="dxa"/>
            <w:vAlign w:val="bottom"/>
          </w:tcPr>
          <w:p>
            <w:pPr>
              <w:spacing w:after="0"/>
              <w:rPr>
                <w:sz w:val="10"/>
                <w:szCs w:val="10"/>
                <w:color w:val="auto"/>
              </w:rPr>
            </w:pPr>
          </w:p>
        </w:tc>
        <w:tc>
          <w:tcPr>
            <w:tcW w:w="140" w:type="dxa"/>
            <w:vAlign w:val="bottom"/>
            <w:vMerge w:val="restart"/>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59,682</w:t>
            </w:r>
          </w:p>
        </w:tc>
        <w:tc>
          <w:tcPr>
            <w:tcW w:w="80" w:type="dxa"/>
            <w:vAlign w:val="bottom"/>
          </w:tcPr>
          <w:p>
            <w:pPr>
              <w:spacing w:after="0"/>
              <w:rPr>
                <w:sz w:val="10"/>
                <w:szCs w:val="10"/>
                <w:color w:val="auto"/>
              </w:rPr>
            </w:pPr>
          </w:p>
        </w:tc>
        <w:tc>
          <w:tcPr>
            <w:tcW w:w="220" w:type="dxa"/>
            <w:vAlign w:val="bottom"/>
            <w:vMerge w:val="restart"/>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vMerge w:val="restart"/>
          </w:tcPr>
          <w:p>
            <w:pPr>
              <w:jc w:val="right"/>
              <w:ind w:right="12"/>
              <w:spacing w:after="0"/>
              <w:rPr>
                <w:sz w:val="20"/>
                <w:szCs w:val="20"/>
                <w:color w:val="auto"/>
              </w:rPr>
            </w:pPr>
            <w:r>
              <w:rPr>
                <w:rFonts w:ascii="Arial" w:cs="Arial" w:eastAsia="Arial" w:hAnsi="Arial"/>
                <w:sz w:val="10"/>
                <w:szCs w:val="10"/>
                <w:color w:val="auto"/>
              </w:rPr>
              <w:t>46,972</w:t>
            </w:r>
          </w:p>
        </w:tc>
        <w:tc>
          <w:tcPr>
            <w:tcW w:w="60" w:type="dxa"/>
            <w:vAlign w:val="bottom"/>
          </w:tcPr>
          <w:p>
            <w:pPr>
              <w:spacing w:after="0"/>
              <w:rPr>
                <w:sz w:val="10"/>
                <w:szCs w:val="10"/>
                <w:color w:val="auto"/>
              </w:rPr>
            </w:pPr>
          </w:p>
        </w:tc>
        <w:tc>
          <w:tcPr>
            <w:tcW w:w="400" w:type="dxa"/>
            <w:vAlign w:val="bottom"/>
            <w:vMerge w:val="restart"/>
          </w:tcPr>
          <w:p>
            <w:pPr>
              <w:jc w:val="right"/>
              <w:ind w:right="272"/>
              <w:spacing w:after="0"/>
              <w:rPr>
                <w:sz w:val="20"/>
                <w:szCs w:val="20"/>
                <w:color w:val="auto"/>
              </w:rPr>
            </w:pPr>
            <w:r>
              <w:rPr>
                <w:rFonts w:ascii="Arial" w:cs="Arial" w:eastAsia="Arial" w:hAnsi="Arial"/>
                <w:sz w:val="10"/>
                <w:szCs w:val="10"/>
                <w:color w:val="auto"/>
              </w:rPr>
              <w:t>$</w:t>
            </w:r>
          </w:p>
        </w:tc>
        <w:tc>
          <w:tcPr>
            <w:tcW w:w="1000" w:type="dxa"/>
            <w:vAlign w:val="bottom"/>
            <w:vMerge w:val="restart"/>
          </w:tcPr>
          <w:p>
            <w:pPr>
              <w:jc w:val="right"/>
              <w:ind w:right="32"/>
              <w:spacing w:after="0"/>
              <w:rPr>
                <w:sz w:val="20"/>
                <w:szCs w:val="20"/>
                <w:color w:val="auto"/>
              </w:rPr>
            </w:pPr>
            <w:r>
              <w:rPr>
                <w:rFonts w:ascii="Arial" w:cs="Arial" w:eastAsia="Arial" w:hAnsi="Arial"/>
                <w:sz w:val="10"/>
                <w:szCs w:val="10"/>
                <w:color w:val="auto"/>
              </w:rPr>
              <w:t>189,185</w:t>
            </w:r>
          </w:p>
        </w:tc>
        <w:tc>
          <w:tcPr>
            <w:tcW w:w="460" w:type="dxa"/>
            <w:vAlign w:val="bottom"/>
            <w:vMerge w:val="restart"/>
          </w:tcPr>
          <w:p>
            <w:pPr>
              <w:jc w:val="right"/>
              <w:ind w:right="312"/>
              <w:spacing w:after="0"/>
              <w:rPr>
                <w:sz w:val="20"/>
                <w:szCs w:val="20"/>
                <w:color w:val="auto"/>
              </w:rPr>
            </w:pPr>
            <w:r>
              <w:rPr>
                <w:rFonts w:ascii="Arial" w:cs="Arial" w:eastAsia="Arial" w:hAnsi="Arial"/>
                <w:sz w:val="10"/>
                <w:szCs w:val="10"/>
                <w:color w:val="auto"/>
              </w:rPr>
              <w:t>$</w:t>
            </w: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87,100</w:t>
            </w:r>
          </w:p>
        </w:tc>
        <w:tc>
          <w:tcPr>
            <w:tcW w:w="0" w:type="dxa"/>
            <w:vAlign w:val="bottom"/>
          </w:tcPr>
          <w:p>
            <w:pPr>
              <w:spacing w:after="0"/>
              <w:rPr>
                <w:sz w:val="1"/>
                <w:szCs w:val="1"/>
                <w:color w:val="auto"/>
              </w:rPr>
            </w:pPr>
          </w:p>
        </w:tc>
      </w:tr>
      <w:tr>
        <w:trPr>
          <w:trHeight w:val="142"/>
        </w:trPr>
        <w:tc>
          <w:tcPr>
            <w:tcW w:w="4220" w:type="dxa"/>
            <w:vAlign w:val="bottom"/>
          </w:tcPr>
          <w:p>
            <w:pPr>
              <w:ind w:left="220"/>
              <w:spacing w:after="0"/>
              <w:rPr>
                <w:sz w:val="20"/>
                <w:szCs w:val="20"/>
                <w:color w:val="auto"/>
              </w:rPr>
            </w:pPr>
            <w:r>
              <w:rPr>
                <w:rFonts w:ascii="Arial" w:cs="Arial" w:eastAsia="Arial" w:hAnsi="Arial"/>
                <w:sz w:val="10"/>
                <w:szCs w:val="10"/>
                <w:b w:val="1"/>
                <w:bCs w:val="1"/>
                <w:color w:val="auto"/>
              </w:rPr>
              <w:t>and equivalent stockholders</w:t>
            </w:r>
          </w:p>
        </w:tc>
        <w:tc>
          <w:tcPr>
            <w:tcW w:w="200" w:type="dxa"/>
            <w:vAlign w:val="bottom"/>
            <w:tcBorders>
              <w:bottom w:val="single" w:sz="8" w:color="auto"/>
            </w:tcBorders>
            <w:vMerge w:val="continue"/>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0"/>
                <w:szCs w:val="10"/>
                <w:color w:val="auto"/>
              </w:rPr>
              <w:t>Earnings per common share:</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4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220" w:type="dxa"/>
            <w:vAlign w:val="bottom"/>
          </w:tcPr>
          <w:p>
            <w:pPr>
              <w:ind w:left="140"/>
              <w:spacing w:after="0"/>
              <w:rPr>
                <w:sz w:val="20"/>
                <w:szCs w:val="20"/>
                <w:color w:val="auto"/>
              </w:rPr>
            </w:pPr>
            <w:r>
              <w:rPr>
                <w:rFonts w:ascii="Arial" w:cs="Arial" w:eastAsia="Arial" w:hAnsi="Arial"/>
                <w:sz w:val="10"/>
                <w:szCs w:val="10"/>
                <w:color w:val="auto"/>
              </w:rPr>
              <w:t>Basic</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0.43</w:t>
            </w:r>
          </w:p>
        </w:tc>
        <w:tc>
          <w:tcPr>
            <w:tcW w:w="6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0.38</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0.28</w:t>
            </w:r>
          </w:p>
        </w:tc>
        <w:tc>
          <w:tcPr>
            <w:tcW w:w="60" w:type="dxa"/>
            <w:vAlign w:val="bottom"/>
          </w:tcPr>
          <w:p>
            <w:pPr>
              <w:spacing w:after="0"/>
              <w:rPr>
                <w:sz w:val="11"/>
                <w:szCs w:val="11"/>
                <w:color w:val="auto"/>
              </w:rPr>
            </w:pPr>
          </w:p>
        </w:tc>
        <w:tc>
          <w:tcPr>
            <w:tcW w:w="40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1.18</w:t>
            </w:r>
          </w:p>
        </w:tc>
        <w:tc>
          <w:tcPr>
            <w:tcW w:w="46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0.52</w:t>
            </w:r>
          </w:p>
        </w:tc>
        <w:tc>
          <w:tcPr>
            <w:tcW w:w="0" w:type="dxa"/>
            <w:vAlign w:val="bottom"/>
          </w:tcPr>
          <w:p>
            <w:pPr>
              <w:spacing w:after="0"/>
              <w:rPr>
                <w:sz w:val="1"/>
                <w:szCs w:val="1"/>
                <w:color w:val="auto"/>
              </w:rPr>
            </w:pPr>
          </w:p>
        </w:tc>
      </w:tr>
      <w:tr>
        <w:trPr>
          <w:trHeight w:val="135"/>
        </w:trPr>
        <w:tc>
          <w:tcPr>
            <w:tcW w:w="4220" w:type="dxa"/>
            <w:vAlign w:val="bottom"/>
          </w:tcPr>
          <w:p>
            <w:pPr>
              <w:ind w:left="140"/>
              <w:spacing w:after="0"/>
              <w:rPr>
                <w:sz w:val="20"/>
                <w:szCs w:val="20"/>
                <w:color w:val="auto"/>
              </w:rPr>
            </w:pPr>
            <w:r>
              <w:rPr>
                <w:rFonts w:ascii="Arial" w:cs="Arial" w:eastAsia="Arial" w:hAnsi="Arial"/>
                <w:sz w:val="10"/>
                <w:szCs w:val="10"/>
                <w:color w:val="auto"/>
              </w:rPr>
              <w:t>Diluted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0.42</w:t>
            </w:r>
          </w:p>
        </w:tc>
        <w:tc>
          <w:tcPr>
            <w:tcW w:w="6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0.38</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0.28</w:t>
            </w:r>
          </w:p>
        </w:tc>
        <w:tc>
          <w:tcPr>
            <w:tcW w:w="60" w:type="dxa"/>
            <w:vAlign w:val="bottom"/>
          </w:tcPr>
          <w:p>
            <w:pPr>
              <w:spacing w:after="0"/>
              <w:rPr>
                <w:sz w:val="11"/>
                <w:szCs w:val="11"/>
                <w:color w:val="auto"/>
              </w:rPr>
            </w:pPr>
          </w:p>
        </w:tc>
        <w:tc>
          <w:tcPr>
            <w:tcW w:w="400" w:type="dxa"/>
            <w:vAlign w:val="bottom"/>
          </w:tcPr>
          <w:p>
            <w:pPr>
              <w:jc w:val="right"/>
              <w:ind w:right="27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1.17</w:t>
            </w:r>
          </w:p>
        </w:tc>
        <w:tc>
          <w:tcPr>
            <w:tcW w:w="46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0.52</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20"/>
                <w:szCs w:val="20"/>
                <w:color w:val="auto"/>
              </w:rPr>
            </w:pPr>
            <w:r>
              <w:rPr>
                <w:rFonts w:ascii="Arial" w:cs="Arial" w:eastAsia="Arial" w:hAnsi="Arial"/>
                <w:sz w:val="10"/>
                <w:szCs w:val="10"/>
                <w:color w:val="auto"/>
              </w:rPr>
              <w:t>Weighted average number of common shares</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ind w:left="80"/>
              <w:spacing w:after="0"/>
              <w:rPr>
                <w:sz w:val="20"/>
                <w:szCs w:val="20"/>
                <w:color w:val="auto"/>
              </w:rPr>
            </w:pPr>
            <w:r>
              <w:rPr>
                <w:rFonts w:ascii="Arial" w:cs="Arial" w:eastAsia="Arial" w:hAnsi="Arial"/>
                <w:sz w:val="10"/>
                <w:szCs w:val="10"/>
                <w:color w:val="auto"/>
              </w:rPr>
              <w:t>outstanding: (1)</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ind w:left="140"/>
              <w:spacing w:after="0"/>
              <w:rPr>
                <w:sz w:val="20"/>
                <w:szCs w:val="20"/>
                <w:color w:val="auto"/>
              </w:rPr>
            </w:pPr>
            <w:r>
              <w:rPr>
                <w:rFonts w:ascii="Arial" w:cs="Arial" w:eastAsia="Arial" w:hAnsi="Arial"/>
                <w:sz w:val="10"/>
                <w:szCs w:val="10"/>
                <w:color w:val="auto"/>
              </w:rPr>
              <w:t>Basic</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155,449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157,103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168,604</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159,807</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168,441</w:t>
            </w:r>
          </w:p>
        </w:tc>
        <w:tc>
          <w:tcPr>
            <w:tcW w:w="0" w:type="dxa"/>
            <w:vAlign w:val="bottom"/>
          </w:tcPr>
          <w:p>
            <w:pPr>
              <w:spacing w:after="0"/>
              <w:rPr>
                <w:sz w:val="1"/>
                <w:szCs w:val="1"/>
                <w:color w:val="auto"/>
              </w:rPr>
            </w:pPr>
          </w:p>
        </w:tc>
      </w:tr>
      <w:tr>
        <w:trPr>
          <w:trHeight w:val="135"/>
        </w:trPr>
        <w:tc>
          <w:tcPr>
            <w:tcW w:w="4220" w:type="dxa"/>
            <w:vAlign w:val="bottom"/>
          </w:tcPr>
          <w:p>
            <w:pPr>
              <w:ind w:left="140"/>
              <w:spacing w:after="0"/>
              <w:rPr>
                <w:sz w:val="20"/>
                <w:szCs w:val="20"/>
                <w:color w:val="auto"/>
              </w:rPr>
            </w:pPr>
            <w:r>
              <w:rPr>
                <w:rFonts w:ascii="Arial" w:cs="Arial" w:eastAsia="Arial" w:hAnsi="Arial"/>
                <w:sz w:val="10"/>
                <w:szCs w:val="10"/>
                <w:color w:val="auto"/>
              </w:rPr>
              <w:t>Diluted</w:t>
            </w:r>
          </w:p>
        </w:tc>
        <w:tc>
          <w:tcPr>
            <w:tcW w:w="200" w:type="dxa"/>
            <w:vAlign w:val="bottom"/>
          </w:tcPr>
          <w:p>
            <w:pPr>
              <w:spacing w:after="0"/>
              <w:rPr>
                <w:sz w:val="11"/>
                <w:szCs w:val="11"/>
                <w:color w:val="auto"/>
              </w:rPr>
            </w:pPr>
          </w:p>
        </w:tc>
        <w:tc>
          <w:tcPr>
            <w:tcW w:w="1160" w:type="dxa"/>
            <w:vAlign w:val="bottom"/>
          </w:tcPr>
          <w:p>
            <w:pPr>
              <w:jc w:val="right"/>
              <w:ind w:right="12"/>
              <w:spacing w:after="0"/>
              <w:rPr>
                <w:sz w:val="20"/>
                <w:szCs w:val="20"/>
                <w:color w:val="auto"/>
              </w:rPr>
            </w:pPr>
            <w:r>
              <w:rPr>
                <w:rFonts w:ascii="Arial" w:cs="Arial" w:eastAsia="Arial" w:hAnsi="Arial"/>
                <w:sz w:val="10"/>
                <w:szCs w:val="10"/>
                <w:color w:val="auto"/>
              </w:rPr>
              <w:t>160,094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159,051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169,732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161,724</w:t>
            </w:r>
          </w:p>
        </w:tc>
        <w:tc>
          <w:tcPr>
            <w:tcW w:w="4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168,684</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color w:val="001B2C"/>
        </w:rPr>
        <w:t>______________</w:t>
      </w:r>
    </w:p>
    <w:p>
      <w:pPr>
        <w:spacing w:after="0" w:line="21" w:lineRule="exact"/>
        <w:rPr>
          <w:sz w:val="20"/>
          <w:szCs w:val="20"/>
          <w:color w:val="auto"/>
        </w:rPr>
      </w:pPr>
    </w:p>
    <w:p>
      <w:pPr>
        <w:ind w:left="8" w:right="6620" w:hanging="8"/>
        <w:spacing w:after="0" w:line="694" w:lineRule="auto"/>
        <w:tabs>
          <w:tab w:leader="none" w:pos="152" w:val="left"/>
        </w:tabs>
        <w:numPr>
          <w:ilvl w:val="0"/>
          <w:numId w:val="11"/>
        </w:numPr>
        <w:rPr>
          <w:rFonts w:ascii="Arial" w:cs="Arial" w:eastAsia="Arial" w:hAnsi="Arial"/>
          <w:sz w:val="10"/>
          <w:szCs w:val="10"/>
          <w:color w:val="6D6D6D"/>
        </w:rPr>
      </w:pPr>
      <w:r>
        <w:rPr>
          <w:rFonts w:ascii="Arial" w:cs="Arial" w:eastAsia="Arial" w:hAnsi="Arial"/>
          <w:sz w:val="10"/>
          <w:szCs w:val="10"/>
          <w:color w:val="6D6D6D"/>
        </w:rPr>
        <w:t xml:space="preserve">Common shares outstanding include non-voting common stock equivalents that are participating securities. </w:t>
      </w:r>
      <w:r>
        <w:rPr>
          <w:rFonts w:ascii="Arial" w:cs="Arial" w:eastAsia="Arial" w:hAnsi="Arial"/>
          <w:sz w:val="1"/>
          <w:szCs w:val="1"/>
          <w:color w:val="6D6D6D"/>
        </w:rPr>
        <w:drawing>
          <wp:inline distT="0" distB="0" distL="0" distR="0">
            <wp:extent cx="548640" cy="1428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640" cy="142875"/>
                    </a:xfrm>
                    <a:prstGeom prst="rect">
                      <a:avLst/>
                    </a:prstGeom>
                    <a:noFill/>
                    <a:ln>
                      <a:noFill/>
                    </a:ln>
                  </pic:spPr>
                </pic:pic>
              </a:graphicData>
            </a:graphic>
          </wp:inline>
        </w:drawing>
      </w:r>
      <w:r>
        <w:rPr>
          <w:rFonts w:ascii="Arial" w:cs="Arial" w:eastAsia="Arial" w:hAnsi="Arial"/>
          <w:sz w:val="10"/>
          <w:szCs w:val="10"/>
          <w:color w:val="001B2C"/>
        </w:rPr>
        <w:t xml:space="preserve"> 20</w:t>
      </w:r>
    </w:p>
    <w:p>
      <w:pPr>
        <w:sectPr>
          <w:pgSz w:w="11900" w:h="16838" w:orient="portrait"/>
          <w:cols w:equalWidth="0" w:num="1">
            <w:col w:w="11308"/>
          </w:cols>
          <w:pgMar w:left="292" w:top="835" w:right="299" w:bottom="1440" w:gutter="0" w:footer="0" w:header="0"/>
        </w:sectPr>
      </w:pPr>
    </w:p>
    <w:bookmarkStart w:id="24" w:name="page25"/>
    <w:bookmarkEnd w:id="24"/>
    <w:p>
      <w:pPr>
        <w:ind w:left="8"/>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SELECTED FINANCIAL DATA</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(UNAUDITED)</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13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94"/>
              </w:rPr>
              <w:t>Three Months Ended</w:t>
            </w:r>
          </w:p>
        </w:tc>
        <w:tc>
          <w:tcPr>
            <w:tcW w:w="1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gridSpan w:val="3"/>
          </w:tcPr>
          <w:p>
            <w:pPr>
              <w:jc w:val="center"/>
              <w:ind w:left="972"/>
              <w:spacing w:after="0"/>
              <w:rPr>
                <w:sz w:val="20"/>
                <w:szCs w:val="20"/>
                <w:color w:val="auto"/>
              </w:rPr>
            </w:pPr>
            <w:r>
              <w:rPr>
                <w:rFonts w:ascii="Arial" w:cs="Arial" w:eastAsia="Arial" w:hAnsi="Arial"/>
                <w:sz w:val="10"/>
                <w:szCs w:val="10"/>
                <w:b w:val="1"/>
                <w:bCs w:val="1"/>
                <w:color w:val="auto"/>
                <w:w w:val="94"/>
              </w:rPr>
              <w:t>Year Ended</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60" w:type="dxa"/>
            <w:vAlign w:val="bottom"/>
          </w:tcPr>
          <w:p>
            <w:pPr>
              <w:jc w:val="center"/>
              <w:ind w:left="352"/>
              <w:spacing w:after="0"/>
              <w:rPr>
                <w:sz w:val="20"/>
                <w:szCs w:val="20"/>
                <w:color w:val="auto"/>
              </w:rPr>
            </w:pPr>
            <w:r>
              <w:rPr>
                <w:rFonts w:ascii="Arial" w:cs="Arial" w:eastAsia="Arial" w:hAnsi="Arial"/>
                <w:sz w:val="10"/>
                <w:szCs w:val="10"/>
                <w:b w:val="1"/>
                <w:bCs w:val="1"/>
                <w:color w:val="auto"/>
                <w:w w:val="95"/>
              </w:rPr>
              <w:t>December 31,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September 30,</w:t>
            </w:r>
          </w:p>
        </w:tc>
        <w:tc>
          <w:tcPr>
            <w:tcW w:w="1540" w:type="dxa"/>
            <w:vAlign w:val="bottom"/>
            <w:gridSpan w:val="2"/>
          </w:tcPr>
          <w:p>
            <w:pPr>
              <w:ind w:left="440"/>
              <w:spacing w:after="0"/>
              <w:rPr>
                <w:sz w:val="20"/>
                <w:szCs w:val="20"/>
                <w:color w:val="auto"/>
              </w:rPr>
            </w:pPr>
            <w:r>
              <w:rPr>
                <w:rFonts w:ascii="Arial" w:cs="Arial" w:eastAsia="Arial" w:hAnsi="Arial"/>
                <w:sz w:val="10"/>
                <w:szCs w:val="10"/>
                <w:b w:val="1"/>
                <w:bCs w:val="1"/>
                <w:color w:val="auto"/>
              </w:rPr>
              <w:t>December 31,</w:t>
            </w:r>
          </w:p>
        </w:tc>
        <w:tc>
          <w:tcPr>
            <w:tcW w:w="1980" w:type="dxa"/>
            <w:vAlign w:val="bottom"/>
            <w:tcBorders>
              <w:bottom w:val="single" w:sz="8" w:color="auto"/>
            </w:tcBorders>
            <w:gridSpan w:val="3"/>
          </w:tcPr>
          <w:p>
            <w:pPr>
              <w:jc w:val="center"/>
              <w:ind w:left="992"/>
              <w:spacing w:after="0"/>
              <w:rPr>
                <w:sz w:val="20"/>
                <w:szCs w:val="20"/>
                <w:color w:val="auto"/>
              </w:rPr>
            </w:pPr>
            <w:r>
              <w:rPr>
                <w:rFonts w:ascii="Arial" w:cs="Arial" w:eastAsia="Arial" w:hAnsi="Arial"/>
                <w:sz w:val="10"/>
                <w:szCs w:val="10"/>
                <w:b w:val="1"/>
                <w:bCs w:val="1"/>
                <w:color w:val="auto"/>
                <w:w w:val="95"/>
              </w:rPr>
              <w:t>December 31,</w:t>
            </w: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40" w:type="dxa"/>
            <w:vAlign w:val="bottom"/>
            <w:tcBorders>
              <w:bottom w:val="single" w:sz="8" w:color="auto"/>
            </w:tcBorders>
          </w:tcPr>
          <w:p>
            <w:pPr>
              <w:spacing w:after="0" w:line="99" w:lineRule="exact"/>
              <w:rPr>
                <w:sz w:val="20"/>
                <w:szCs w:val="20"/>
                <w:color w:val="auto"/>
              </w:rPr>
            </w:pPr>
            <w:r>
              <w:rPr>
                <w:rFonts w:ascii="Arial" w:cs="Arial" w:eastAsia="Arial" w:hAnsi="Arial"/>
                <w:sz w:val="10"/>
                <w:szCs w:val="10"/>
                <w:b w:val="1"/>
                <w:bCs w:val="1"/>
                <w:color w:val="auto"/>
                <w:w w:val="95"/>
              </w:rPr>
              <w:t>Profitability and Other Ratios</w:t>
            </w:r>
          </w:p>
        </w:tc>
        <w:tc>
          <w:tcPr>
            <w:tcW w:w="2320" w:type="dxa"/>
            <w:vAlign w:val="bottom"/>
          </w:tcPr>
          <w:p>
            <w:pPr>
              <w:spacing w:after="0"/>
              <w:rPr>
                <w:sz w:val="8"/>
                <w:szCs w:val="8"/>
                <w:color w:val="auto"/>
              </w:rPr>
            </w:pPr>
          </w:p>
        </w:tc>
        <w:tc>
          <w:tcPr>
            <w:tcW w:w="1060" w:type="dxa"/>
            <w:vAlign w:val="bottom"/>
          </w:tcPr>
          <w:p>
            <w:pPr>
              <w:jc w:val="right"/>
              <w:ind w:right="172"/>
              <w:spacing w:after="0" w:line="99" w:lineRule="exact"/>
              <w:rPr>
                <w:sz w:val="20"/>
                <w:szCs w:val="20"/>
                <w:color w:val="auto"/>
              </w:rPr>
            </w:pPr>
            <w:r>
              <w:rPr>
                <w:rFonts w:ascii="Arial" w:cs="Arial" w:eastAsia="Arial" w:hAnsi="Arial"/>
                <w:sz w:val="10"/>
                <w:szCs w:val="10"/>
                <w:b w:val="1"/>
                <w:bCs w:val="1"/>
                <w:color w:val="auto"/>
              </w:rPr>
              <w:t>2025</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8"/>
                <w:szCs w:val="8"/>
                <w:color w:val="auto"/>
              </w:rPr>
            </w:pPr>
          </w:p>
        </w:tc>
        <w:tc>
          <w:tcPr>
            <w:tcW w:w="148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2024</w:t>
            </w:r>
          </w:p>
        </w:tc>
        <w:tc>
          <w:tcPr>
            <w:tcW w:w="60" w:type="dxa"/>
            <w:vAlign w:val="bottom"/>
          </w:tcPr>
          <w:p>
            <w:pPr>
              <w:spacing w:after="0"/>
              <w:rPr>
                <w:sz w:val="8"/>
                <w:szCs w:val="8"/>
                <w:color w:val="auto"/>
              </w:rPr>
            </w:pPr>
          </w:p>
        </w:tc>
        <w:tc>
          <w:tcPr>
            <w:tcW w:w="1460" w:type="dxa"/>
            <w:vAlign w:val="bottom"/>
          </w:tcPr>
          <w:p>
            <w:pPr>
              <w:jc w:val="right"/>
              <w:ind w:right="57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jc w:val="right"/>
              <w:ind w:right="572"/>
              <w:spacing w:after="0" w:line="99" w:lineRule="exact"/>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0"/>
                <w:szCs w:val="10"/>
                <w:color w:val="auto"/>
              </w:rPr>
              <w:t>Return on average assets (1)</w:t>
            </w: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6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jc w:val="right"/>
              <w:spacing w:after="0" w:line="105" w:lineRule="exact"/>
              <w:rPr>
                <w:sz w:val="20"/>
                <w:szCs w:val="20"/>
                <w:color w:val="auto"/>
              </w:rPr>
            </w:pPr>
            <w:r>
              <w:rPr>
                <w:rFonts w:ascii="Arial" w:cs="Arial" w:eastAsia="Arial" w:hAnsi="Arial"/>
                <w:sz w:val="10"/>
                <w:szCs w:val="10"/>
                <w:color w:val="auto"/>
              </w:rPr>
              <w:t>0.91 %</w:t>
            </w:r>
          </w:p>
        </w:tc>
        <w:tc>
          <w:tcPr>
            <w:tcW w:w="100" w:type="dxa"/>
            <w:vAlign w:val="bottom"/>
          </w:tcPr>
          <w:p>
            <w:pPr>
              <w:spacing w:after="0"/>
              <w:rPr>
                <w:sz w:val="9"/>
                <w:szCs w:val="9"/>
                <w:color w:val="auto"/>
              </w:rPr>
            </w:pPr>
          </w:p>
        </w:tc>
        <w:tc>
          <w:tcPr>
            <w:tcW w:w="1460" w:type="dxa"/>
            <w:vAlign w:val="bottom"/>
          </w:tcPr>
          <w:p>
            <w:pPr>
              <w:jc w:val="right"/>
              <w:spacing w:after="0" w:line="105" w:lineRule="exact"/>
              <w:rPr>
                <w:sz w:val="20"/>
                <w:szCs w:val="20"/>
                <w:color w:val="auto"/>
              </w:rPr>
            </w:pPr>
            <w:r>
              <w:rPr>
                <w:rFonts w:ascii="Arial" w:cs="Arial" w:eastAsia="Arial" w:hAnsi="Arial"/>
                <w:sz w:val="10"/>
                <w:szCs w:val="10"/>
                <w:color w:val="auto"/>
              </w:rPr>
              <w:t>0.82 %</w:t>
            </w:r>
          </w:p>
        </w:tc>
        <w:tc>
          <w:tcPr>
            <w:tcW w:w="80" w:type="dxa"/>
            <w:vAlign w:val="bottom"/>
          </w:tcPr>
          <w:p>
            <w:pPr>
              <w:spacing w:after="0"/>
              <w:rPr>
                <w:sz w:val="9"/>
                <w:szCs w:val="9"/>
                <w:color w:val="auto"/>
              </w:rPr>
            </w:pPr>
          </w:p>
        </w:tc>
        <w:tc>
          <w:tcPr>
            <w:tcW w:w="1480" w:type="dxa"/>
            <w:vAlign w:val="bottom"/>
          </w:tcPr>
          <w:p>
            <w:pPr>
              <w:jc w:val="right"/>
              <w:spacing w:after="0" w:line="105" w:lineRule="exact"/>
              <w:rPr>
                <w:sz w:val="20"/>
                <w:szCs w:val="20"/>
                <w:color w:val="auto"/>
              </w:rPr>
            </w:pPr>
            <w:r>
              <w:rPr>
                <w:rFonts w:ascii="Arial" w:cs="Arial" w:eastAsia="Arial" w:hAnsi="Arial"/>
                <w:sz w:val="10"/>
                <w:szCs w:val="10"/>
                <w:color w:val="auto"/>
              </w:rPr>
              <w:t>0.67 %</w:t>
            </w:r>
          </w:p>
        </w:tc>
        <w:tc>
          <w:tcPr>
            <w:tcW w:w="60" w:type="dxa"/>
            <w:vAlign w:val="bottom"/>
          </w:tcPr>
          <w:p>
            <w:pPr>
              <w:spacing w:after="0"/>
              <w:rPr>
                <w:sz w:val="9"/>
                <w:szCs w:val="9"/>
                <w:color w:val="auto"/>
              </w:rPr>
            </w:pPr>
          </w:p>
        </w:tc>
        <w:tc>
          <w:tcPr>
            <w:tcW w:w="1460" w:type="dxa"/>
            <w:vAlign w:val="bottom"/>
          </w:tcPr>
          <w:p>
            <w:pPr>
              <w:jc w:val="right"/>
              <w:spacing w:after="0" w:line="105" w:lineRule="exact"/>
              <w:rPr>
                <w:sz w:val="20"/>
                <w:szCs w:val="20"/>
                <w:color w:val="auto"/>
              </w:rPr>
            </w:pPr>
            <w:r>
              <w:rPr>
                <w:rFonts w:ascii="Arial" w:cs="Arial" w:eastAsia="Arial" w:hAnsi="Arial"/>
                <w:sz w:val="10"/>
                <w:szCs w:val="10"/>
                <w:color w:val="auto"/>
              </w:rPr>
              <w:t>0.68 %</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jc w:val="right"/>
              <w:spacing w:after="0" w:line="105" w:lineRule="exact"/>
              <w:rPr>
                <w:sz w:val="20"/>
                <w:szCs w:val="20"/>
                <w:color w:val="auto"/>
              </w:rPr>
            </w:pPr>
            <w:r>
              <w:rPr>
                <w:rFonts w:ascii="Arial" w:cs="Arial" w:eastAsia="Arial" w:hAnsi="Arial"/>
                <w:sz w:val="10"/>
                <w:szCs w:val="10"/>
                <w:color w:val="auto"/>
              </w:rPr>
              <w:t>0.36 %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Adjusted ROAA (1)(2)</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0.91 %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0.82 %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0.67 %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0.77 %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0.50 %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Return on average equity (1)</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8.79 %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8.04 %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6.50 %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6.60 %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3.70 %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Return on average tangible common</w:t>
            </w: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ind w:left="80"/>
              <w:spacing w:after="0"/>
              <w:rPr>
                <w:sz w:val="20"/>
                <w:szCs w:val="20"/>
                <w:color w:val="auto"/>
              </w:rPr>
            </w:pPr>
            <w:r>
              <w:rPr>
                <w:rFonts w:ascii="Arial" w:cs="Arial" w:eastAsia="Arial" w:hAnsi="Arial"/>
                <w:sz w:val="10"/>
                <w:szCs w:val="10"/>
                <w:color w:val="auto"/>
              </w:rPr>
              <w:t>equity (1)(2)</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10.75 %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9.87 %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7.35 %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7.95 %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4.35 %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Adjusted return on average tangible</w:t>
            </w: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ind w:left="80"/>
              <w:spacing w:after="0"/>
              <w:rPr>
                <w:sz w:val="20"/>
                <w:szCs w:val="20"/>
                <w:color w:val="auto"/>
              </w:rPr>
            </w:pPr>
            <w:r>
              <w:rPr>
                <w:rFonts w:ascii="Arial" w:cs="Arial" w:eastAsia="Arial" w:hAnsi="Arial"/>
                <w:sz w:val="10"/>
                <w:szCs w:val="10"/>
                <w:color w:val="auto"/>
              </w:rPr>
              <w:t>common equity (1)(2)</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10.75 %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9.87 %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7.35 %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9.05 %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6.23 %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Dividend payout ratio (3)</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23.26 %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26.32 %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35.71 %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33.90 %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76.92 %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Average yield on loans and leases (1)</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5.83 %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6.05 %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6.01 %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5.93 %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6.11 %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Average yield on interest-earning assets (1)</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5.31 %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5.50 %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5.48 %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5.40 %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5.58 %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Average cost of interest-bearing deposits (1)</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2.66 %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2.89 %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3.18 %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2.87 %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3.48 %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Average total cost of deposits (1)</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1.89 %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2.08 %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2.26 %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2.05 %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2.52 %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Average cost of interest-bearing liabilities (1)</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2.98 %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3.19 %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3.48 %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3.17 %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3.79 %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Average total cost of funds (1)</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2.20 %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2.37 %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2.55 %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2.35 %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2.84 %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Net interest spread</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2.33 %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2.31 %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2.00 %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2.23 %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1.79 %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Net interest margin (1)</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3.20 %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3.22 %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3.04 %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3.15 %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2.85 %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Noninterest income to total revenue (4)</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14.19 %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11.92 %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10.97 %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12.70 %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7.69 %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Noninterest expense to average total</w:t>
            </w: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ind w:left="80"/>
              <w:spacing w:after="0"/>
              <w:rPr>
                <w:sz w:val="20"/>
                <w:szCs w:val="20"/>
                <w:color w:val="auto"/>
              </w:rPr>
            </w:pPr>
            <w:r>
              <w:rPr>
                <w:rFonts w:ascii="Arial" w:cs="Arial" w:eastAsia="Arial" w:hAnsi="Arial"/>
                <w:sz w:val="10"/>
                <w:szCs w:val="10"/>
                <w:color w:val="auto"/>
              </w:rPr>
              <w:t>assets (1)</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2.12 %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2.18 %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2.15 %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2.19 %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2.24 %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Noninterest expense to total revenue (4)</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61.67 %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64.53 %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68.63 %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65.73 %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78.92 %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Efficiency ratio (2)(5)</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59.35 %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62.05 %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65.96 %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63.20 %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72.66 %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Loans to deposits ratio</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90.56 %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89.47 %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87.56 %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90.56 %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87.56 %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Average loans and leases to average deposits</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89.81 %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89.62 %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87.05 %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89.39 %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86.42 %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Average investment securities to average</w:t>
            </w: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ind w:left="80"/>
              <w:spacing w:after="0"/>
              <w:rPr>
                <w:sz w:val="20"/>
                <w:szCs w:val="20"/>
                <w:color w:val="auto"/>
              </w:rPr>
            </w:pPr>
            <w:r>
              <w:rPr>
                <w:rFonts w:ascii="Arial" w:cs="Arial" w:eastAsia="Arial" w:hAnsi="Arial"/>
                <w:sz w:val="10"/>
                <w:szCs w:val="10"/>
                <w:color w:val="auto"/>
              </w:rPr>
              <w:t>total assets</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14.49 %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14.14 %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14.01 %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14.21 %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13.26 %</w:t>
            </w: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rPr>
                <w:sz w:val="20"/>
                <w:szCs w:val="20"/>
                <w:color w:val="auto"/>
              </w:rPr>
            </w:pPr>
            <w:r>
              <w:rPr>
                <w:rFonts w:ascii="Arial" w:cs="Arial" w:eastAsia="Arial" w:hAnsi="Arial"/>
                <w:sz w:val="10"/>
                <w:szCs w:val="10"/>
                <w:color w:val="auto"/>
              </w:rPr>
              <w:t>Average stockholders' equity to average</w:t>
            </w: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ind w:left="80"/>
              <w:spacing w:after="0"/>
              <w:rPr>
                <w:sz w:val="20"/>
                <w:szCs w:val="20"/>
                <w:color w:val="auto"/>
              </w:rPr>
            </w:pPr>
            <w:r>
              <w:rPr>
                <w:rFonts w:ascii="Arial" w:cs="Arial" w:eastAsia="Arial" w:hAnsi="Arial"/>
                <w:sz w:val="10"/>
                <w:szCs w:val="10"/>
                <w:color w:val="auto"/>
              </w:rPr>
              <w:t>total assets</w:t>
            </w:r>
          </w:p>
        </w:tc>
        <w:tc>
          <w:tcPr>
            <w:tcW w:w="10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10.35 %</w:t>
            </w:r>
          </w:p>
        </w:tc>
        <w:tc>
          <w:tcPr>
            <w:tcW w:w="1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10.16 %</w:t>
            </w:r>
          </w:p>
        </w:tc>
        <w:tc>
          <w:tcPr>
            <w:tcW w:w="8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10.39 %</w:t>
            </w:r>
          </w:p>
        </w:tc>
        <w:tc>
          <w:tcPr>
            <w:tcW w:w="6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10.31 %</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9.71 %</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8"/>
        <w:spacing w:after="0"/>
        <w:rPr>
          <w:sz w:val="20"/>
          <w:szCs w:val="20"/>
          <w:color w:val="auto"/>
        </w:rPr>
      </w:pPr>
      <w:r>
        <w:rPr>
          <w:rFonts w:ascii="Arial" w:cs="Arial" w:eastAsia="Arial" w:hAnsi="Arial"/>
          <w:sz w:val="12"/>
          <w:szCs w:val="12"/>
          <w:color w:val="6D6D6D"/>
        </w:rPr>
        <w:t>______________</w:t>
      </w:r>
    </w:p>
    <w:p>
      <w:pPr>
        <w:spacing w:after="0" w:line="23" w:lineRule="exact"/>
        <w:rPr>
          <w:sz w:val="20"/>
          <w:szCs w:val="20"/>
          <w:color w:val="auto"/>
        </w:rPr>
      </w:pPr>
    </w:p>
    <w:p>
      <w:pPr>
        <w:ind w:left="148" w:hanging="148"/>
        <w:spacing w:after="0"/>
        <w:tabs>
          <w:tab w:leader="none" w:pos="148" w:val="left"/>
        </w:tabs>
        <w:numPr>
          <w:ilvl w:val="0"/>
          <w:numId w:val="12"/>
        </w:numPr>
        <w:rPr>
          <w:rFonts w:ascii="Arial" w:cs="Arial" w:eastAsia="Arial" w:hAnsi="Arial"/>
          <w:sz w:val="10"/>
          <w:szCs w:val="10"/>
          <w:color w:val="6D6D6D"/>
        </w:rPr>
      </w:pPr>
      <w:r>
        <w:rPr>
          <w:rFonts w:ascii="Arial" w:cs="Arial" w:eastAsia="Arial" w:hAnsi="Arial"/>
          <w:sz w:val="10"/>
          <w:szCs w:val="10"/>
          <w:color w:val="6D6D6D"/>
        </w:rPr>
        <w:t>Annualized.</w:t>
      </w:r>
    </w:p>
    <w:p>
      <w:pPr>
        <w:spacing w:after="0" w:line="9" w:lineRule="exact"/>
        <w:rPr>
          <w:rFonts w:ascii="Arial" w:cs="Arial" w:eastAsia="Arial" w:hAnsi="Arial"/>
          <w:sz w:val="10"/>
          <w:szCs w:val="10"/>
          <w:color w:val="6D6D6D"/>
        </w:rPr>
      </w:pPr>
    </w:p>
    <w:p>
      <w:pPr>
        <w:ind w:left="148" w:hanging="148"/>
        <w:spacing w:after="0" w:line="225" w:lineRule="auto"/>
        <w:tabs>
          <w:tab w:leader="none" w:pos="148" w:val="left"/>
        </w:tabs>
        <w:numPr>
          <w:ilvl w:val="0"/>
          <w:numId w:val="12"/>
        </w:numPr>
        <w:rPr>
          <w:rFonts w:ascii="Arial" w:cs="Arial" w:eastAsia="Arial" w:hAnsi="Arial"/>
          <w:sz w:val="10"/>
          <w:szCs w:val="10"/>
          <w:color w:val="6D6D6D"/>
        </w:rPr>
      </w:pPr>
      <w:r>
        <w:rPr>
          <w:rFonts w:ascii="Arial" w:cs="Arial" w:eastAsia="Arial" w:hAnsi="Arial"/>
          <w:sz w:val="10"/>
          <w:szCs w:val="10"/>
          <w:color w:val="6D6D6D"/>
        </w:rPr>
        <w:t>Non-GAAP measure.</w:t>
      </w:r>
    </w:p>
    <w:p>
      <w:pPr>
        <w:ind w:left="148" w:hanging="148"/>
        <w:spacing w:after="0"/>
        <w:tabs>
          <w:tab w:leader="none" w:pos="148" w:val="left"/>
        </w:tabs>
        <w:numPr>
          <w:ilvl w:val="0"/>
          <w:numId w:val="12"/>
        </w:numPr>
        <w:rPr>
          <w:rFonts w:ascii="Arial" w:cs="Arial" w:eastAsia="Arial" w:hAnsi="Arial"/>
          <w:sz w:val="10"/>
          <w:szCs w:val="10"/>
          <w:color w:val="6D6D6D"/>
        </w:rPr>
      </w:pPr>
      <w:r>
        <w:rPr>
          <w:rFonts w:ascii="Arial" w:cs="Arial" w:eastAsia="Arial" w:hAnsi="Arial"/>
          <w:sz w:val="10"/>
          <w:szCs w:val="10"/>
          <w:color w:val="6D6D6D"/>
        </w:rPr>
        <w:t>Ratio calculated by dividing dividends declared per common and equivalent share by basic earnings per common and equivalent share.</w:t>
      </w:r>
    </w:p>
    <w:p>
      <w:pPr>
        <w:spacing w:after="0" w:line="1" w:lineRule="exact"/>
        <w:rPr>
          <w:rFonts w:ascii="Arial" w:cs="Arial" w:eastAsia="Arial" w:hAnsi="Arial"/>
          <w:sz w:val="10"/>
          <w:szCs w:val="10"/>
          <w:color w:val="6D6D6D"/>
        </w:rPr>
      </w:pPr>
    </w:p>
    <w:p>
      <w:pPr>
        <w:ind w:left="148" w:hanging="148"/>
        <w:spacing w:after="0"/>
        <w:tabs>
          <w:tab w:leader="none" w:pos="148" w:val="left"/>
        </w:tabs>
        <w:numPr>
          <w:ilvl w:val="0"/>
          <w:numId w:val="12"/>
        </w:numPr>
        <w:rPr>
          <w:rFonts w:ascii="Arial" w:cs="Arial" w:eastAsia="Arial" w:hAnsi="Arial"/>
          <w:sz w:val="10"/>
          <w:szCs w:val="10"/>
          <w:color w:val="6D6D6D"/>
        </w:rPr>
      </w:pPr>
      <w:r>
        <w:rPr>
          <w:rFonts w:ascii="Arial" w:cs="Arial" w:eastAsia="Arial" w:hAnsi="Arial"/>
          <w:sz w:val="10"/>
          <w:szCs w:val="10"/>
          <w:color w:val="6D6D6D"/>
        </w:rPr>
        <w:t>Total revenue equals the sum of net interest income and noninterest income.</w:t>
      </w:r>
    </w:p>
    <w:p>
      <w:pPr>
        <w:spacing w:after="0" w:line="2" w:lineRule="exact"/>
        <w:rPr>
          <w:rFonts w:ascii="Arial" w:cs="Arial" w:eastAsia="Arial" w:hAnsi="Arial"/>
          <w:sz w:val="10"/>
          <w:szCs w:val="10"/>
          <w:color w:val="6D6D6D"/>
        </w:rPr>
      </w:pPr>
    </w:p>
    <w:p>
      <w:pPr>
        <w:ind w:left="148" w:hanging="148"/>
        <w:spacing w:after="0"/>
        <w:tabs>
          <w:tab w:leader="none" w:pos="148" w:val="left"/>
        </w:tabs>
        <w:numPr>
          <w:ilvl w:val="0"/>
          <w:numId w:val="12"/>
        </w:numPr>
        <w:rPr>
          <w:rFonts w:ascii="Arial" w:cs="Arial" w:eastAsia="Arial" w:hAnsi="Arial"/>
          <w:sz w:val="10"/>
          <w:szCs w:val="10"/>
          <w:color w:val="6D6D6D"/>
        </w:rPr>
      </w:pPr>
      <w:r>
        <w:rPr>
          <w:rFonts w:ascii="Arial" w:cs="Arial" w:eastAsia="Arial" w:hAnsi="Arial"/>
          <w:sz w:val="10"/>
          <w:szCs w:val="10"/>
          <w:color w:val="6D6D6D"/>
        </w:rPr>
        <w:t>Ratio calculated by dividing noninterest expense (less intangible asset amortization and acquisition, integration and reorganization costs) by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54864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21</w:t>
      </w:r>
    </w:p>
    <w:p>
      <w:pPr>
        <w:sectPr>
          <w:pgSz w:w="11900" w:h="16838" w:orient="portrait"/>
          <w:cols w:equalWidth="0" w:num="1">
            <w:col w:w="11308"/>
          </w:cols>
          <w:pgMar w:left="292" w:top="907" w:right="299" w:bottom="1440" w:gutter="0" w:footer="0" w:header="0"/>
        </w:sectPr>
      </w:pPr>
    </w:p>
    <w:bookmarkStart w:id="25" w:name="page26"/>
    <w:bookmarkEnd w:id="25"/>
    <w:p>
      <w:pPr>
        <w:ind w:left="8"/>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AVERAGE BALANCE, AVERAGE YIELD EARNED, AND AVERAGE COST PAID</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(UNAUDITED)</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20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0"/>
                <w:szCs w:val="10"/>
                <w:b w:val="1"/>
                <w:bCs w:val="1"/>
                <w:color w:val="auto"/>
                <w:w w:val="94"/>
              </w:rPr>
              <w:t>Three Months Ended</w:t>
            </w: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b w:val="1"/>
                <w:bCs w:val="1"/>
                <w:color w:val="auto"/>
              </w:rPr>
              <w:t>December 31, 2025</w:t>
            </w: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0"/>
                <w:szCs w:val="10"/>
                <w:b w:val="1"/>
                <w:bCs w:val="1"/>
                <w:color w:val="auto"/>
                <w:w w:val="96"/>
              </w:rPr>
              <w:t>September 30, 2025</w:t>
            </w: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rPr>
              <w:t>December 31, 2024</w:t>
            </w: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112"/>
              <w:spacing w:after="0"/>
              <w:rPr>
                <w:sz w:val="20"/>
                <w:szCs w:val="20"/>
                <w:color w:val="auto"/>
              </w:rPr>
            </w:pPr>
            <w:r>
              <w:rPr>
                <w:rFonts w:ascii="Arial" w:cs="Arial" w:eastAsia="Arial" w:hAnsi="Arial"/>
                <w:sz w:val="10"/>
                <w:szCs w:val="10"/>
                <w:b w:val="1"/>
                <w:bCs w:val="1"/>
                <w:color w:val="auto"/>
                <w:w w:val="99"/>
              </w:rPr>
              <w:t>Interest</w:t>
            </w:r>
          </w:p>
        </w:tc>
        <w:tc>
          <w:tcPr>
            <w:tcW w:w="10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Average</w:t>
            </w: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112"/>
              <w:spacing w:after="0"/>
              <w:rPr>
                <w:sz w:val="20"/>
                <w:szCs w:val="20"/>
                <w:color w:val="auto"/>
              </w:rPr>
            </w:pPr>
            <w:r>
              <w:rPr>
                <w:rFonts w:ascii="Arial" w:cs="Arial" w:eastAsia="Arial" w:hAnsi="Arial"/>
                <w:sz w:val="10"/>
                <w:szCs w:val="10"/>
                <w:b w:val="1"/>
                <w:bCs w:val="1"/>
                <w:color w:val="auto"/>
                <w:w w:val="93"/>
              </w:rPr>
              <w:t>Interest</w:t>
            </w:r>
          </w:p>
        </w:tc>
        <w:tc>
          <w:tcPr>
            <w:tcW w:w="10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132"/>
              <w:spacing w:after="0"/>
              <w:rPr>
                <w:sz w:val="20"/>
                <w:szCs w:val="20"/>
                <w:color w:val="auto"/>
              </w:rPr>
            </w:pPr>
            <w:r>
              <w:rPr>
                <w:rFonts w:ascii="Arial" w:cs="Arial" w:eastAsia="Arial" w:hAnsi="Arial"/>
                <w:sz w:val="10"/>
                <w:szCs w:val="10"/>
                <w:b w:val="1"/>
                <w:bCs w:val="1"/>
                <w:color w:val="auto"/>
                <w:w w:val="93"/>
              </w:rPr>
              <w:t>Interest</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352"/>
              <w:spacing w:after="0"/>
              <w:rPr>
                <w:sz w:val="20"/>
                <w:szCs w:val="20"/>
                <w:color w:val="auto"/>
              </w:rPr>
            </w:pPr>
            <w:r>
              <w:rPr>
                <w:rFonts w:ascii="Arial" w:cs="Arial" w:eastAsia="Arial" w:hAnsi="Arial"/>
                <w:sz w:val="10"/>
                <w:szCs w:val="10"/>
                <w:b w:val="1"/>
                <w:bCs w:val="1"/>
                <w:color w:val="auto"/>
              </w:rPr>
              <w:t>Average</w:t>
            </w:r>
          </w:p>
        </w:tc>
        <w:tc>
          <w:tcPr>
            <w:tcW w:w="160" w:type="dxa"/>
            <w:vAlign w:val="bottom"/>
          </w:tcPr>
          <w:p>
            <w:pPr>
              <w:spacing w:after="0"/>
              <w:rPr>
                <w:sz w:val="11"/>
                <w:szCs w:val="11"/>
                <w:color w:val="auto"/>
              </w:rPr>
            </w:pPr>
          </w:p>
        </w:tc>
        <w:tc>
          <w:tcPr>
            <w:tcW w:w="760" w:type="dxa"/>
            <w:vAlign w:val="bottom"/>
          </w:tcPr>
          <w:p>
            <w:pPr>
              <w:jc w:val="center"/>
              <w:ind w:right="112"/>
              <w:spacing w:after="0"/>
              <w:rPr>
                <w:sz w:val="20"/>
                <w:szCs w:val="20"/>
                <w:color w:val="auto"/>
              </w:rPr>
            </w:pPr>
            <w:r>
              <w:rPr>
                <w:rFonts w:ascii="Arial" w:cs="Arial" w:eastAsia="Arial" w:hAnsi="Arial"/>
                <w:sz w:val="10"/>
                <w:szCs w:val="10"/>
                <w:b w:val="1"/>
                <w:bCs w:val="1"/>
                <w:color w:val="auto"/>
                <w:w w:val="95"/>
              </w:rPr>
              <w:t>Income/</w:t>
            </w:r>
          </w:p>
        </w:tc>
        <w:tc>
          <w:tcPr>
            <w:tcW w:w="10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7"/>
              </w:rPr>
              <w:t>Yield/</w:t>
            </w:r>
          </w:p>
        </w:tc>
        <w:tc>
          <w:tcPr>
            <w:tcW w:w="240" w:type="dxa"/>
            <w:vAlign w:val="bottom"/>
          </w:tcPr>
          <w:p>
            <w:pPr>
              <w:spacing w:after="0"/>
              <w:rPr>
                <w:sz w:val="11"/>
                <w:szCs w:val="11"/>
                <w:color w:val="auto"/>
              </w:rPr>
            </w:pPr>
          </w:p>
        </w:tc>
        <w:tc>
          <w:tcPr>
            <w:tcW w:w="940" w:type="dxa"/>
            <w:vAlign w:val="bottom"/>
          </w:tcPr>
          <w:p>
            <w:pPr>
              <w:jc w:val="right"/>
              <w:ind w:right="352"/>
              <w:spacing w:after="0"/>
              <w:rPr>
                <w:sz w:val="20"/>
                <w:szCs w:val="20"/>
                <w:color w:val="auto"/>
              </w:rPr>
            </w:pPr>
            <w:r>
              <w:rPr>
                <w:rFonts w:ascii="Arial" w:cs="Arial" w:eastAsia="Arial" w:hAnsi="Arial"/>
                <w:sz w:val="10"/>
                <w:szCs w:val="10"/>
                <w:b w:val="1"/>
                <w:bCs w:val="1"/>
                <w:color w:val="auto"/>
              </w:rPr>
              <w:t>Average</w:t>
            </w:r>
          </w:p>
        </w:tc>
        <w:tc>
          <w:tcPr>
            <w:tcW w:w="160" w:type="dxa"/>
            <w:vAlign w:val="bottom"/>
          </w:tcPr>
          <w:p>
            <w:pPr>
              <w:spacing w:after="0"/>
              <w:rPr>
                <w:sz w:val="11"/>
                <w:szCs w:val="11"/>
                <w:color w:val="auto"/>
              </w:rPr>
            </w:pPr>
          </w:p>
        </w:tc>
        <w:tc>
          <w:tcPr>
            <w:tcW w:w="78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Income/</w:t>
            </w:r>
          </w:p>
        </w:tc>
        <w:tc>
          <w:tcPr>
            <w:tcW w:w="10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Yield/</w:t>
            </w:r>
          </w:p>
        </w:tc>
        <w:tc>
          <w:tcPr>
            <w:tcW w:w="220" w:type="dxa"/>
            <w:vAlign w:val="bottom"/>
          </w:tcPr>
          <w:p>
            <w:pPr>
              <w:spacing w:after="0"/>
              <w:rPr>
                <w:sz w:val="11"/>
                <w:szCs w:val="11"/>
                <w:color w:val="auto"/>
              </w:rPr>
            </w:pPr>
          </w:p>
        </w:tc>
        <w:tc>
          <w:tcPr>
            <w:tcW w:w="940" w:type="dxa"/>
            <w:vAlign w:val="bottom"/>
          </w:tcPr>
          <w:p>
            <w:pPr>
              <w:jc w:val="right"/>
              <w:ind w:right="352"/>
              <w:spacing w:after="0"/>
              <w:rPr>
                <w:sz w:val="20"/>
                <w:szCs w:val="20"/>
                <w:color w:val="auto"/>
              </w:rPr>
            </w:pPr>
            <w:r>
              <w:rPr>
                <w:rFonts w:ascii="Arial" w:cs="Arial" w:eastAsia="Arial" w:hAnsi="Arial"/>
                <w:sz w:val="10"/>
                <w:szCs w:val="10"/>
                <w:b w:val="1"/>
                <w:bCs w:val="1"/>
                <w:color w:val="auto"/>
              </w:rPr>
              <w:t>Average</w:t>
            </w:r>
          </w:p>
        </w:tc>
        <w:tc>
          <w:tcPr>
            <w:tcW w:w="180" w:type="dxa"/>
            <w:vAlign w:val="bottom"/>
          </w:tcPr>
          <w:p>
            <w:pPr>
              <w:spacing w:after="0"/>
              <w:rPr>
                <w:sz w:val="11"/>
                <w:szCs w:val="11"/>
                <w:color w:val="auto"/>
              </w:rPr>
            </w:pPr>
          </w:p>
        </w:tc>
        <w:tc>
          <w:tcPr>
            <w:tcW w:w="760" w:type="dxa"/>
            <w:vAlign w:val="bottom"/>
          </w:tcPr>
          <w:p>
            <w:pPr>
              <w:jc w:val="center"/>
              <w:ind w:right="112"/>
              <w:spacing w:after="0"/>
              <w:rPr>
                <w:sz w:val="20"/>
                <w:szCs w:val="20"/>
                <w:color w:val="auto"/>
              </w:rPr>
            </w:pPr>
            <w:r>
              <w:rPr>
                <w:rFonts w:ascii="Arial" w:cs="Arial" w:eastAsia="Arial" w:hAnsi="Arial"/>
                <w:sz w:val="10"/>
                <w:szCs w:val="10"/>
                <w:b w:val="1"/>
                <w:bCs w:val="1"/>
                <w:color w:val="auto"/>
                <w:w w:val="95"/>
              </w:rPr>
              <w:t>Income/</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7"/>
              </w:rPr>
              <w:t>Yield/</w:t>
            </w:r>
          </w:p>
        </w:tc>
        <w:tc>
          <w:tcPr>
            <w:tcW w:w="0" w:type="dxa"/>
            <w:vAlign w:val="bottom"/>
          </w:tcPr>
          <w:p>
            <w:pPr>
              <w:spacing w:after="0"/>
              <w:rPr>
                <w:sz w:val="1"/>
                <w:szCs w:val="1"/>
                <w:color w:val="auto"/>
              </w:rPr>
            </w:pPr>
          </w:p>
        </w:tc>
      </w:tr>
      <w:tr>
        <w:trPr>
          <w:trHeight w:val="136"/>
        </w:trPr>
        <w:tc>
          <w:tcPr>
            <w:tcW w:w="20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Balance</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7"/>
              </w:rPr>
              <w:t>Expense</w:t>
            </w:r>
          </w:p>
        </w:tc>
        <w:tc>
          <w:tcPr>
            <w:tcW w:w="10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98"/>
              </w:rPr>
              <w:t>Cost</w:t>
            </w: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Balance</w:t>
            </w: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97"/>
              </w:rPr>
              <w:t>Expense</w:t>
            </w: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89"/>
              </w:rPr>
              <w:t>Cost</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Balance</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7"/>
              </w:rPr>
              <w:t>Expense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Cost</w:t>
            </w: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gridSpan w:val="3"/>
          </w:tcPr>
          <w:p>
            <w:pPr>
              <w:jc w:val="center"/>
              <w:ind w:left="652"/>
              <w:spacing w:after="0"/>
              <w:rPr>
                <w:sz w:val="20"/>
                <w:szCs w:val="20"/>
                <w:color w:val="auto"/>
              </w:rPr>
            </w:pPr>
            <w:r>
              <w:rPr>
                <w:rFonts w:ascii="Arial" w:cs="Arial" w:eastAsia="Arial" w:hAnsi="Arial"/>
                <w:sz w:val="10"/>
                <w:szCs w:val="10"/>
                <w:b w:val="1"/>
                <w:bCs w:val="1"/>
                <w:i w:val="1"/>
                <w:iCs w:val="1"/>
                <w:color w:val="auto"/>
                <w:w w:val="96"/>
              </w:rPr>
              <w:t>(Dollars in thousands)</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20"/>
                <w:szCs w:val="20"/>
                <w:color w:val="auto"/>
              </w:rPr>
            </w:pPr>
            <w:r>
              <w:rPr>
                <w:rFonts w:ascii="Arial" w:cs="Arial" w:eastAsia="Arial" w:hAnsi="Arial"/>
                <w:sz w:val="10"/>
                <w:szCs w:val="10"/>
                <w:color w:val="auto"/>
              </w:rPr>
              <w:t>Loans and leases (1)</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24,443,089</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359,268</w:t>
            </w:r>
          </w:p>
        </w:tc>
        <w:tc>
          <w:tcPr>
            <w:tcW w:w="940" w:type="dxa"/>
            <w:vAlign w:val="bottom"/>
          </w:tcPr>
          <w:p>
            <w:pPr>
              <w:jc w:val="right"/>
              <w:spacing w:after="0"/>
              <w:rPr>
                <w:sz w:val="20"/>
                <w:szCs w:val="20"/>
                <w:color w:val="auto"/>
              </w:rPr>
            </w:pPr>
            <w:r>
              <w:rPr>
                <w:rFonts w:ascii="Arial" w:cs="Arial" w:eastAsia="Arial" w:hAnsi="Arial"/>
                <w:sz w:val="10"/>
                <w:szCs w:val="10"/>
                <w:color w:val="auto"/>
              </w:rPr>
              <w:t>5.83 %</w:t>
            </w:r>
          </w:p>
        </w:tc>
        <w:tc>
          <w:tcPr>
            <w:tcW w:w="6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24,458,255</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372,723</w:t>
            </w:r>
          </w:p>
        </w:tc>
        <w:tc>
          <w:tcPr>
            <w:tcW w:w="920" w:type="dxa"/>
            <w:vAlign w:val="bottom"/>
          </w:tcPr>
          <w:p>
            <w:pPr>
              <w:jc w:val="right"/>
              <w:spacing w:after="0"/>
              <w:rPr>
                <w:sz w:val="20"/>
                <w:szCs w:val="20"/>
                <w:color w:val="auto"/>
              </w:rPr>
            </w:pPr>
            <w:r>
              <w:rPr>
                <w:rFonts w:ascii="Arial" w:cs="Arial" w:eastAsia="Arial" w:hAnsi="Arial"/>
                <w:sz w:val="10"/>
                <w:szCs w:val="10"/>
                <w:color w:val="auto"/>
              </w:rPr>
              <w:t>6.05 %</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23,649,271</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357,303</w:t>
            </w:r>
          </w:p>
        </w:tc>
        <w:tc>
          <w:tcPr>
            <w:tcW w:w="940" w:type="dxa"/>
            <w:vAlign w:val="bottom"/>
          </w:tcPr>
          <w:p>
            <w:pPr>
              <w:jc w:val="right"/>
              <w:spacing w:after="0"/>
              <w:rPr>
                <w:sz w:val="20"/>
                <w:szCs w:val="20"/>
                <w:color w:val="auto"/>
              </w:rPr>
            </w:pPr>
            <w:r>
              <w:rPr>
                <w:rFonts w:ascii="Arial" w:cs="Arial" w:eastAsia="Arial" w:hAnsi="Arial"/>
                <w:sz w:val="10"/>
                <w:szCs w:val="10"/>
                <w:color w:val="auto"/>
              </w:rPr>
              <w:t>6.01 %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Investment securities</w:t>
            </w:r>
          </w:p>
        </w:tc>
        <w:tc>
          <w:tcPr>
            <w:tcW w:w="220" w:type="dxa"/>
            <w:vAlign w:val="bottom"/>
          </w:tcPr>
          <w:p>
            <w:pPr>
              <w:spacing w:after="0"/>
              <w:rPr>
                <w:sz w:val="11"/>
                <w:szCs w:val="11"/>
                <w:color w:val="auto"/>
              </w:rPr>
            </w:pP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4,891,281</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39,557</w:t>
            </w:r>
          </w:p>
        </w:tc>
        <w:tc>
          <w:tcPr>
            <w:tcW w:w="940" w:type="dxa"/>
            <w:vAlign w:val="bottom"/>
          </w:tcPr>
          <w:p>
            <w:pPr>
              <w:jc w:val="right"/>
              <w:spacing w:after="0"/>
              <w:rPr>
                <w:sz w:val="20"/>
                <w:szCs w:val="20"/>
                <w:color w:val="auto"/>
              </w:rPr>
            </w:pPr>
            <w:r>
              <w:rPr>
                <w:rFonts w:ascii="Arial" w:cs="Arial" w:eastAsia="Arial" w:hAnsi="Arial"/>
                <w:sz w:val="10"/>
                <w:szCs w:val="10"/>
                <w:color w:val="auto"/>
              </w:rPr>
              <w:t>3.21 %</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4,782,070</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38,291</w:t>
            </w:r>
          </w:p>
        </w:tc>
        <w:tc>
          <w:tcPr>
            <w:tcW w:w="920" w:type="dxa"/>
            <w:vAlign w:val="bottom"/>
          </w:tcPr>
          <w:p>
            <w:pPr>
              <w:jc w:val="right"/>
              <w:spacing w:after="0"/>
              <w:rPr>
                <w:sz w:val="20"/>
                <w:szCs w:val="20"/>
                <w:color w:val="auto"/>
              </w:rPr>
            </w:pPr>
            <w:r>
              <w:rPr>
                <w:rFonts w:ascii="Arial" w:cs="Arial" w:eastAsia="Arial" w:hAnsi="Arial"/>
                <w:sz w:val="10"/>
                <w:szCs w:val="10"/>
                <w:color w:val="auto"/>
              </w:rPr>
              <w:t>3.18 %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4,700,742</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37,743</w:t>
            </w:r>
          </w:p>
        </w:tc>
        <w:tc>
          <w:tcPr>
            <w:tcW w:w="940" w:type="dxa"/>
            <w:vAlign w:val="bottom"/>
          </w:tcPr>
          <w:p>
            <w:pPr>
              <w:jc w:val="right"/>
              <w:spacing w:after="0"/>
              <w:rPr>
                <w:sz w:val="20"/>
                <w:szCs w:val="20"/>
                <w:color w:val="auto"/>
              </w:rPr>
            </w:pPr>
            <w:r>
              <w:rPr>
                <w:rFonts w:ascii="Arial" w:cs="Arial" w:eastAsia="Arial" w:hAnsi="Arial"/>
                <w:sz w:val="10"/>
                <w:szCs w:val="10"/>
                <w:color w:val="auto"/>
              </w:rPr>
              <w:t>3.19 %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Deposits in financial</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80"/>
              <w:spacing w:after="0"/>
              <w:rPr>
                <w:sz w:val="20"/>
                <w:szCs w:val="20"/>
                <w:color w:val="auto"/>
              </w:rPr>
            </w:pPr>
            <w:r>
              <w:rPr>
                <w:rFonts w:ascii="Arial" w:cs="Arial" w:eastAsia="Arial" w:hAnsi="Arial"/>
                <w:sz w:val="10"/>
                <w:szCs w:val="10"/>
                <w:color w:val="auto"/>
              </w:rPr>
              <w:t>institutions</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1,834,773</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18,123</w:t>
            </w:r>
          </w:p>
        </w:tc>
        <w:tc>
          <w:tcPr>
            <w:tcW w:w="940" w:type="dxa"/>
            <w:vAlign w:val="bottom"/>
          </w:tcPr>
          <w:p>
            <w:pPr>
              <w:jc w:val="right"/>
              <w:spacing w:after="0"/>
              <w:rPr>
                <w:sz w:val="20"/>
                <w:szCs w:val="20"/>
                <w:color w:val="auto"/>
              </w:rPr>
            </w:pPr>
            <w:r>
              <w:rPr>
                <w:rFonts w:ascii="Arial" w:cs="Arial" w:eastAsia="Arial" w:hAnsi="Arial"/>
                <w:sz w:val="10"/>
                <w:szCs w:val="10"/>
                <w:color w:val="auto"/>
              </w:rPr>
              <w:t>3.92 %</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1,958,011</w:t>
            </w: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21,527</w:t>
            </w:r>
          </w:p>
        </w:tc>
        <w:tc>
          <w:tcPr>
            <w:tcW w:w="920" w:type="dxa"/>
            <w:vAlign w:val="bottom"/>
          </w:tcPr>
          <w:p>
            <w:pPr>
              <w:jc w:val="right"/>
              <w:spacing w:after="0"/>
              <w:rPr>
                <w:sz w:val="20"/>
                <w:szCs w:val="20"/>
                <w:color w:val="auto"/>
              </w:rPr>
            </w:pPr>
            <w:r>
              <w:rPr>
                <w:rFonts w:ascii="Arial" w:cs="Arial" w:eastAsia="Arial" w:hAnsi="Arial"/>
                <w:sz w:val="10"/>
                <w:szCs w:val="10"/>
                <w:color w:val="auto"/>
              </w:rPr>
              <w:t>4.36 %</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2,474,732</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29,473</w:t>
            </w:r>
          </w:p>
        </w:tc>
        <w:tc>
          <w:tcPr>
            <w:tcW w:w="940" w:type="dxa"/>
            <w:vAlign w:val="bottom"/>
          </w:tcPr>
          <w:p>
            <w:pPr>
              <w:jc w:val="right"/>
              <w:spacing w:after="0"/>
              <w:rPr>
                <w:sz w:val="20"/>
                <w:szCs w:val="20"/>
                <w:color w:val="auto"/>
              </w:rPr>
            </w:pPr>
            <w:r>
              <w:rPr>
                <w:rFonts w:ascii="Arial" w:cs="Arial" w:eastAsia="Arial" w:hAnsi="Arial"/>
                <w:sz w:val="10"/>
                <w:szCs w:val="10"/>
                <w:color w:val="auto"/>
              </w:rPr>
              <w:t>4.74 %</w:t>
            </w:r>
          </w:p>
        </w:tc>
        <w:tc>
          <w:tcPr>
            <w:tcW w:w="0" w:type="dxa"/>
            <w:vAlign w:val="bottom"/>
          </w:tcPr>
          <w:p>
            <w:pPr>
              <w:spacing w:after="0"/>
              <w:rPr>
                <w:sz w:val="1"/>
                <w:szCs w:val="1"/>
                <w:color w:val="auto"/>
              </w:rPr>
            </w:pPr>
          </w:p>
        </w:tc>
      </w:tr>
      <w:tr>
        <w:trPr>
          <w:trHeight w:val="115"/>
        </w:trPr>
        <w:tc>
          <w:tcPr>
            <w:tcW w:w="2060" w:type="dxa"/>
            <w:vAlign w:val="bottom"/>
          </w:tcPr>
          <w:p>
            <w:pPr>
              <w:ind w:left="120"/>
              <w:spacing w:after="0"/>
              <w:rPr>
                <w:sz w:val="20"/>
                <w:szCs w:val="20"/>
                <w:color w:val="auto"/>
              </w:rPr>
            </w:pPr>
            <w:r>
              <w:rPr>
                <w:rFonts w:ascii="Arial" w:cs="Arial" w:eastAsia="Arial" w:hAnsi="Arial"/>
                <w:sz w:val="10"/>
                <w:szCs w:val="10"/>
                <w:color w:val="auto"/>
              </w:rPr>
              <w:t>Total interest-earning</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180"/>
              <w:spacing w:after="0"/>
              <w:rPr>
                <w:sz w:val="20"/>
                <w:szCs w:val="20"/>
                <w:color w:val="auto"/>
              </w:rPr>
            </w:pPr>
            <w:r>
              <w:rPr>
                <w:rFonts w:ascii="Arial" w:cs="Arial" w:eastAsia="Arial" w:hAnsi="Arial"/>
                <w:sz w:val="10"/>
                <w:szCs w:val="10"/>
                <w:color w:val="auto"/>
              </w:rPr>
              <w:t>assets</w:t>
            </w:r>
          </w:p>
        </w:tc>
        <w:tc>
          <w:tcPr>
            <w:tcW w:w="220" w:type="dxa"/>
            <w:vAlign w:val="bottom"/>
          </w:tcPr>
          <w:p>
            <w:pPr>
              <w:spacing w:after="0"/>
              <w:rPr>
                <w:sz w:val="11"/>
                <w:szCs w:val="11"/>
                <w:color w:val="auto"/>
              </w:rPr>
            </w:pP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31,169,143</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416,948</w:t>
            </w:r>
          </w:p>
        </w:tc>
        <w:tc>
          <w:tcPr>
            <w:tcW w:w="940" w:type="dxa"/>
            <w:vAlign w:val="bottom"/>
          </w:tcPr>
          <w:p>
            <w:pPr>
              <w:jc w:val="right"/>
              <w:spacing w:after="0"/>
              <w:rPr>
                <w:sz w:val="20"/>
                <w:szCs w:val="20"/>
                <w:color w:val="auto"/>
              </w:rPr>
            </w:pPr>
            <w:r>
              <w:rPr>
                <w:rFonts w:ascii="Arial" w:cs="Arial" w:eastAsia="Arial" w:hAnsi="Arial"/>
                <w:sz w:val="10"/>
                <w:szCs w:val="10"/>
                <w:color w:val="auto"/>
              </w:rPr>
              <w:t>5.31 %</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31,198,336</w:t>
            </w: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432,541</w:t>
            </w:r>
          </w:p>
        </w:tc>
        <w:tc>
          <w:tcPr>
            <w:tcW w:w="920" w:type="dxa"/>
            <w:vAlign w:val="bottom"/>
          </w:tcPr>
          <w:p>
            <w:pPr>
              <w:jc w:val="right"/>
              <w:spacing w:after="0"/>
              <w:rPr>
                <w:sz w:val="20"/>
                <w:szCs w:val="20"/>
                <w:color w:val="auto"/>
              </w:rPr>
            </w:pPr>
            <w:r>
              <w:rPr>
                <w:rFonts w:ascii="Arial" w:cs="Arial" w:eastAsia="Arial" w:hAnsi="Arial"/>
                <w:sz w:val="10"/>
                <w:szCs w:val="10"/>
                <w:color w:val="auto"/>
              </w:rPr>
              <w:t>5.50 %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30,824,745</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424,519</w:t>
            </w:r>
          </w:p>
        </w:tc>
        <w:tc>
          <w:tcPr>
            <w:tcW w:w="940" w:type="dxa"/>
            <w:vAlign w:val="bottom"/>
          </w:tcPr>
          <w:p>
            <w:pPr>
              <w:jc w:val="right"/>
              <w:spacing w:after="0"/>
              <w:rPr>
                <w:sz w:val="20"/>
                <w:szCs w:val="20"/>
                <w:color w:val="auto"/>
              </w:rPr>
            </w:pPr>
            <w:r>
              <w:rPr>
                <w:rFonts w:ascii="Arial" w:cs="Arial" w:eastAsia="Arial" w:hAnsi="Arial"/>
                <w:sz w:val="10"/>
                <w:szCs w:val="10"/>
                <w:color w:val="auto"/>
              </w:rPr>
              <w:t>5.48 %</w:t>
            </w:r>
          </w:p>
        </w:tc>
        <w:tc>
          <w:tcPr>
            <w:tcW w:w="0" w:type="dxa"/>
            <w:vAlign w:val="bottom"/>
          </w:tcPr>
          <w:p>
            <w:pPr>
              <w:spacing w:after="0"/>
              <w:rPr>
                <w:sz w:val="1"/>
                <w:szCs w:val="1"/>
                <w:color w:val="auto"/>
              </w:rPr>
            </w:pPr>
          </w:p>
        </w:tc>
      </w:tr>
      <w:tr>
        <w:trPr>
          <w:trHeight w:val="118"/>
        </w:trPr>
        <w:tc>
          <w:tcPr>
            <w:tcW w:w="2060" w:type="dxa"/>
            <w:vAlign w:val="bottom"/>
          </w:tcPr>
          <w:p>
            <w:pPr>
              <w:spacing w:after="0"/>
              <w:rPr>
                <w:sz w:val="20"/>
                <w:szCs w:val="20"/>
                <w:color w:val="auto"/>
              </w:rPr>
            </w:pPr>
            <w:r>
              <w:rPr>
                <w:rFonts w:ascii="Arial" w:cs="Arial" w:eastAsia="Arial" w:hAnsi="Arial"/>
                <w:sz w:val="10"/>
                <w:szCs w:val="10"/>
                <w:color w:val="auto"/>
              </w:rPr>
              <w:t>Other assets</w:t>
            </w: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2,583,357</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2,632,881</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2,737,283</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60" w:type="dxa"/>
            <w:vAlign w:val="bottom"/>
          </w:tcPr>
          <w:p>
            <w:pPr>
              <w:ind w:left="120"/>
              <w:spacing w:after="0"/>
              <w:rPr>
                <w:sz w:val="20"/>
                <w:szCs w:val="20"/>
                <w:color w:val="auto"/>
              </w:rPr>
            </w:pPr>
            <w:r>
              <w:rPr>
                <w:rFonts w:ascii="Arial" w:cs="Arial" w:eastAsia="Arial" w:hAnsi="Arial"/>
                <w:sz w:val="10"/>
                <w:szCs w:val="10"/>
                <w:color w:val="auto"/>
              </w:rPr>
              <w:t>Total assets</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33,752,500</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33,831,217</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33,562,028</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0"/>
                <w:szCs w:val="10"/>
                <w:b w:val="1"/>
                <w:bCs w:val="1"/>
                <w:color w:val="auto"/>
              </w:rPr>
              <w:t>Liabilities and</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b w:val="1"/>
                <w:bCs w:val="1"/>
                <w:color w:val="auto"/>
              </w:rPr>
              <w:t>Stockholders' Equity:</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20"/>
                <w:szCs w:val="20"/>
                <w:color w:val="auto"/>
              </w:rPr>
            </w:pPr>
            <w:r>
              <w:rPr>
                <w:rFonts w:ascii="Arial" w:cs="Arial" w:eastAsia="Arial" w:hAnsi="Arial"/>
                <w:sz w:val="10"/>
                <w:szCs w:val="10"/>
                <w:color w:val="auto"/>
              </w:rPr>
              <w:t>Interest checking</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7,944,858</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49,319</w:t>
            </w:r>
          </w:p>
        </w:tc>
        <w:tc>
          <w:tcPr>
            <w:tcW w:w="940" w:type="dxa"/>
            <w:vAlign w:val="bottom"/>
          </w:tcPr>
          <w:p>
            <w:pPr>
              <w:jc w:val="right"/>
              <w:spacing w:after="0"/>
              <w:rPr>
                <w:sz w:val="20"/>
                <w:szCs w:val="20"/>
                <w:color w:val="auto"/>
              </w:rPr>
            </w:pPr>
            <w:r>
              <w:rPr>
                <w:rFonts w:ascii="Arial" w:cs="Arial" w:eastAsia="Arial" w:hAnsi="Arial"/>
                <w:sz w:val="10"/>
                <w:szCs w:val="10"/>
                <w:color w:val="auto"/>
              </w:rPr>
              <w:t>2.46 %</w:t>
            </w:r>
          </w:p>
        </w:tc>
        <w:tc>
          <w:tcPr>
            <w:tcW w:w="6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7,855,639</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53,995</w:t>
            </w:r>
          </w:p>
        </w:tc>
        <w:tc>
          <w:tcPr>
            <w:tcW w:w="920" w:type="dxa"/>
            <w:vAlign w:val="bottom"/>
          </w:tcPr>
          <w:p>
            <w:pPr>
              <w:jc w:val="right"/>
              <w:spacing w:after="0"/>
              <w:rPr>
                <w:sz w:val="20"/>
                <w:szCs w:val="20"/>
                <w:color w:val="auto"/>
              </w:rPr>
            </w:pPr>
            <w:r>
              <w:rPr>
                <w:rFonts w:ascii="Arial" w:cs="Arial" w:eastAsia="Arial" w:hAnsi="Arial"/>
                <w:sz w:val="10"/>
                <w:szCs w:val="10"/>
                <w:color w:val="auto"/>
              </w:rPr>
              <w:t>2.73 %</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7,659,320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56,408</w:t>
            </w:r>
          </w:p>
        </w:tc>
        <w:tc>
          <w:tcPr>
            <w:tcW w:w="940" w:type="dxa"/>
            <w:vAlign w:val="bottom"/>
          </w:tcPr>
          <w:p>
            <w:pPr>
              <w:jc w:val="right"/>
              <w:spacing w:after="0"/>
              <w:rPr>
                <w:sz w:val="20"/>
                <w:szCs w:val="20"/>
                <w:color w:val="auto"/>
              </w:rPr>
            </w:pPr>
            <w:r>
              <w:rPr>
                <w:rFonts w:ascii="Arial" w:cs="Arial" w:eastAsia="Arial" w:hAnsi="Arial"/>
                <w:sz w:val="10"/>
                <w:szCs w:val="10"/>
                <w:color w:val="auto"/>
              </w:rPr>
              <w:t>2.93 %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Money market</w:t>
            </w:r>
          </w:p>
        </w:tc>
        <w:tc>
          <w:tcPr>
            <w:tcW w:w="220" w:type="dxa"/>
            <w:vAlign w:val="bottom"/>
          </w:tcPr>
          <w:p>
            <w:pPr>
              <w:spacing w:after="0"/>
              <w:rPr>
                <w:sz w:val="11"/>
                <w:szCs w:val="11"/>
                <w:color w:val="auto"/>
              </w:rPr>
            </w:pP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4,948,960</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25,810</w:t>
            </w:r>
          </w:p>
        </w:tc>
        <w:tc>
          <w:tcPr>
            <w:tcW w:w="940" w:type="dxa"/>
            <w:vAlign w:val="bottom"/>
          </w:tcPr>
          <w:p>
            <w:pPr>
              <w:jc w:val="right"/>
              <w:spacing w:after="0"/>
              <w:rPr>
                <w:sz w:val="20"/>
                <w:szCs w:val="20"/>
                <w:color w:val="auto"/>
              </w:rPr>
            </w:pPr>
            <w:r>
              <w:rPr>
                <w:rFonts w:ascii="Arial" w:cs="Arial" w:eastAsia="Arial" w:hAnsi="Arial"/>
                <w:sz w:val="10"/>
                <w:szCs w:val="10"/>
                <w:color w:val="auto"/>
              </w:rPr>
              <w:t>2.07 %</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5,154,138</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30,461</w:t>
            </w:r>
          </w:p>
        </w:tc>
        <w:tc>
          <w:tcPr>
            <w:tcW w:w="920" w:type="dxa"/>
            <w:vAlign w:val="bottom"/>
          </w:tcPr>
          <w:p>
            <w:pPr>
              <w:jc w:val="right"/>
              <w:spacing w:after="0"/>
              <w:rPr>
                <w:sz w:val="20"/>
                <w:szCs w:val="20"/>
                <w:color w:val="auto"/>
              </w:rPr>
            </w:pPr>
            <w:r>
              <w:rPr>
                <w:rFonts w:ascii="Arial" w:cs="Arial" w:eastAsia="Arial" w:hAnsi="Arial"/>
                <w:sz w:val="10"/>
                <w:szCs w:val="10"/>
                <w:color w:val="auto"/>
              </w:rPr>
              <w:t>2.34 %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5,003,118</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31,688</w:t>
            </w:r>
          </w:p>
        </w:tc>
        <w:tc>
          <w:tcPr>
            <w:tcW w:w="940" w:type="dxa"/>
            <w:vAlign w:val="bottom"/>
          </w:tcPr>
          <w:p>
            <w:pPr>
              <w:jc w:val="right"/>
              <w:spacing w:after="0"/>
              <w:rPr>
                <w:sz w:val="20"/>
                <w:szCs w:val="20"/>
                <w:color w:val="auto"/>
              </w:rPr>
            </w:pPr>
            <w:r>
              <w:rPr>
                <w:rFonts w:ascii="Arial" w:cs="Arial" w:eastAsia="Arial" w:hAnsi="Arial"/>
                <w:sz w:val="10"/>
                <w:szCs w:val="10"/>
                <w:color w:val="auto"/>
              </w:rPr>
              <w:t>2.52 %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Savings</w:t>
            </w:r>
          </w:p>
        </w:tc>
        <w:tc>
          <w:tcPr>
            <w:tcW w:w="220" w:type="dxa"/>
            <w:vAlign w:val="bottom"/>
          </w:tcPr>
          <w:p>
            <w:pPr>
              <w:spacing w:after="0"/>
              <w:rPr>
                <w:sz w:val="11"/>
                <w:szCs w:val="11"/>
                <w:color w:val="auto"/>
              </w:rPr>
            </w:pP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1,942,678</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10,863</w:t>
            </w:r>
          </w:p>
        </w:tc>
        <w:tc>
          <w:tcPr>
            <w:tcW w:w="940" w:type="dxa"/>
            <w:vAlign w:val="bottom"/>
          </w:tcPr>
          <w:p>
            <w:pPr>
              <w:jc w:val="right"/>
              <w:spacing w:after="0"/>
              <w:rPr>
                <w:sz w:val="20"/>
                <w:szCs w:val="20"/>
                <w:color w:val="auto"/>
              </w:rPr>
            </w:pPr>
            <w:r>
              <w:rPr>
                <w:rFonts w:ascii="Arial" w:cs="Arial" w:eastAsia="Arial" w:hAnsi="Arial"/>
                <w:sz w:val="10"/>
                <w:szCs w:val="10"/>
                <w:color w:val="auto"/>
              </w:rPr>
              <w:t>2.22 %</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1,966,040</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12,689</w:t>
            </w:r>
          </w:p>
        </w:tc>
        <w:tc>
          <w:tcPr>
            <w:tcW w:w="920" w:type="dxa"/>
            <w:vAlign w:val="bottom"/>
          </w:tcPr>
          <w:p>
            <w:pPr>
              <w:jc w:val="right"/>
              <w:spacing w:after="0"/>
              <w:rPr>
                <w:sz w:val="20"/>
                <w:szCs w:val="20"/>
                <w:color w:val="auto"/>
              </w:rPr>
            </w:pPr>
            <w:r>
              <w:rPr>
                <w:rFonts w:ascii="Arial" w:cs="Arial" w:eastAsia="Arial" w:hAnsi="Arial"/>
                <w:sz w:val="10"/>
                <w:szCs w:val="10"/>
                <w:color w:val="auto"/>
              </w:rPr>
              <w:t>2.56 %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1,954,625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14,255</w:t>
            </w:r>
          </w:p>
        </w:tc>
        <w:tc>
          <w:tcPr>
            <w:tcW w:w="940" w:type="dxa"/>
            <w:vAlign w:val="bottom"/>
          </w:tcPr>
          <w:p>
            <w:pPr>
              <w:jc w:val="right"/>
              <w:spacing w:after="0"/>
              <w:rPr>
                <w:sz w:val="20"/>
                <w:szCs w:val="20"/>
                <w:color w:val="auto"/>
              </w:rPr>
            </w:pPr>
            <w:r>
              <w:rPr>
                <w:rFonts w:ascii="Arial" w:cs="Arial" w:eastAsia="Arial" w:hAnsi="Arial"/>
                <w:sz w:val="10"/>
                <w:szCs w:val="10"/>
                <w:color w:val="auto"/>
              </w:rPr>
              <w:t>2.90 %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Time</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4,570,369</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43,904</w:t>
            </w:r>
          </w:p>
        </w:tc>
        <w:tc>
          <w:tcPr>
            <w:tcW w:w="940" w:type="dxa"/>
            <w:vAlign w:val="bottom"/>
          </w:tcPr>
          <w:p>
            <w:pPr>
              <w:jc w:val="right"/>
              <w:spacing w:after="0"/>
              <w:rPr>
                <w:sz w:val="20"/>
                <w:szCs w:val="20"/>
                <w:color w:val="auto"/>
              </w:rPr>
            </w:pPr>
            <w:r>
              <w:rPr>
                <w:rFonts w:ascii="Arial" w:cs="Arial" w:eastAsia="Arial" w:hAnsi="Arial"/>
                <w:sz w:val="10"/>
                <w:szCs w:val="10"/>
                <w:color w:val="auto"/>
              </w:rPr>
              <w:t>3.81 %</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4,633,089</w:t>
            </w: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45,929</w:t>
            </w:r>
          </w:p>
        </w:tc>
        <w:tc>
          <w:tcPr>
            <w:tcW w:w="920" w:type="dxa"/>
            <w:vAlign w:val="bottom"/>
          </w:tcPr>
          <w:p>
            <w:pPr>
              <w:jc w:val="right"/>
              <w:spacing w:after="0"/>
              <w:rPr>
                <w:sz w:val="20"/>
                <w:szCs w:val="20"/>
                <w:color w:val="auto"/>
              </w:rPr>
            </w:pPr>
            <w:r>
              <w:rPr>
                <w:rFonts w:ascii="Arial" w:cs="Arial" w:eastAsia="Arial" w:hAnsi="Arial"/>
                <w:sz w:val="10"/>
                <w:szCs w:val="10"/>
                <w:color w:val="auto"/>
              </w:rPr>
              <w:t>3.93 %</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4,645,115</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51,734</w:t>
            </w:r>
          </w:p>
        </w:tc>
        <w:tc>
          <w:tcPr>
            <w:tcW w:w="940" w:type="dxa"/>
            <w:vAlign w:val="bottom"/>
          </w:tcPr>
          <w:p>
            <w:pPr>
              <w:jc w:val="right"/>
              <w:spacing w:after="0"/>
              <w:rPr>
                <w:sz w:val="20"/>
                <w:szCs w:val="20"/>
                <w:color w:val="auto"/>
              </w:rPr>
            </w:pPr>
            <w:r>
              <w:rPr>
                <w:rFonts w:ascii="Arial" w:cs="Arial" w:eastAsia="Arial" w:hAnsi="Arial"/>
                <w:sz w:val="10"/>
                <w:szCs w:val="10"/>
                <w:color w:val="auto"/>
              </w:rPr>
              <w:t>4.43 %</w:t>
            </w:r>
          </w:p>
        </w:tc>
        <w:tc>
          <w:tcPr>
            <w:tcW w:w="0" w:type="dxa"/>
            <w:vAlign w:val="bottom"/>
          </w:tcPr>
          <w:p>
            <w:pPr>
              <w:spacing w:after="0"/>
              <w:rPr>
                <w:sz w:val="1"/>
                <w:szCs w:val="1"/>
                <w:color w:val="auto"/>
              </w:rPr>
            </w:pPr>
          </w:p>
        </w:tc>
      </w:tr>
      <w:tr>
        <w:trPr>
          <w:trHeight w:val="115"/>
        </w:trPr>
        <w:tc>
          <w:tcPr>
            <w:tcW w:w="2060" w:type="dxa"/>
            <w:vAlign w:val="bottom"/>
          </w:tcPr>
          <w:p>
            <w:pPr>
              <w:ind w:left="120"/>
              <w:spacing w:after="0"/>
              <w:rPr>
                <w:sz w:val="20"/>
                <w:szCs w:val="20"/>
                <w:color w:val="auto"/>
              </w:rPr>
            </w:pPr>
            <w:r>
              <w:rPr>
                <w:rFonts w:ascii="Arial" w:cs="Arial" w:eastAsia="Arial" w:hAnsi="Arial"/>
                <w:sz w:val="10"/>
                <w:szCs w:val="10"/>
                <w:color w:val="auto"/>
              </w:rPr>
              <w:t>Total interest-bearing</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180"/>
              <w:spacing w:after="0"/>
              <w:rPr>
                <w:sz w:val="20"/>
                <w:szCs w:val="20"/>
                <w:color w:val="auto"/>
              </w:rPr>
            </w:pPr>
            <w:r>
              <w:rPr>
                <w:rFonts w:ascii="Arial" w:cs="Arial" w:eastAsia="Arial" w:hAnsi="Arial"/>
                <w:sz w:val="10"/>
                <w:szCs w:val="10"/>
                <w:color w:val="auto"/>
              </w:rPr>
              <w:t>deposits</w:t>
            </w:r>
          </w:p>
        </w:tc>
        <w:tc>
          <w:tcPr>
            <w:tcW w:w="220" w:type="dxa"/>
            <w:vAlign w:val="bottom"/>
          </w:tcPr>
          <w:p>
            <w:pPr>
              <w:spacing w:after="0"/>
              <w:rPr>
                <w:sz w:val="11"/>
                <w:szCs w:val="11"/>
                <w:color w:val="auto"/>
              </w:rPr>
            </w:pP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19,406,865</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129,896</w:t>
            </w:r>
          </w:p>
        </w:tc>
        <w:tc>
          <w:tcPr>
            <w:tcW w:w="940" w:type="dxa"/>
            <w:vAlign w:val="bottom"/>
          </w:tcPr>
          <w:p>
            <w:pPr>
              <w:jc w:val="right"/>
              <w:spacing w:after="0"/>
              <w:rPr>
                <w:sz w:val="20"/>
                <w:szCs w:val="20"/>
                <w:color w:val="auto"/>
              </w:rPr>
            </w:pPr>
            <w:r>
              <w:rPr>
                <w:rFonts w:ascii="Arial" w:cs="Arial" w:eastAsia="Arial" w:hAnsi="Arial"/>
                <w:sz w:val="10"/>
                <w:szCs w:val="10"/>
                <w:color w:val="auto"/>
              </w:rPr>
              <w:t>2.66 %</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19,608,906</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143,074</w:t>
            </w:r>
          </w:p>
        </w:tc>
        <w:tc>
          <w:tcPr>
            <w:tcW w:w="920" w:type="dxa"/>
            <w:vAlign w:val="bottom"/>
          </w:tcPr>
          <w:p>
            <w:pPr>
              <w:jc w:val="right"/>
              <w:spacing w:after="0"/>
              <w:rPr>
                <w:sz w:val="20"/>
                <w:szCs w:val="20"/>
                <w:color w:val="auto"/>
              </w:rPr>
            </w:pPr>
            <w:r>
              <w:rPr>
                <w:rFonts w:ascii="Arial" w:cs="Arial" w:eastAsia="Arial" w:hAnsi="Arial"/>
                <w:sz w:val="10"/>
                <w:szCs w:val="10"/>
                <w:color w:val="auto"/>
              </w:rPr>
              <w:t>2.89 %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19,262,178</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154,085</w:t>
            </w:r>
          </w:p>
        </w:tc>
        <w:tc>
          <w:tcPr>
            <w:tcW w:w="940" w:type="dxa"/>
            <w:vAlign w:val="bottom"/>
          </w:tcPr>
          <w:p>
            <w:pPr>
              <w:jc w:val="right"/>
              <w:spacing w:after="0"/>
              <w:rPr>
                <w:sz w:val="20"/>
                <w:szCs w:val="20"/>
                <w:color w:val="auto"/>
              </w:rPr>
            </w:pPr>
            <w:r>
              <w:rPr>
                <w:rFonts w:ascii="Arial" w:cs="Arial" w:eastAsia="Arial" w:hAnsi="Arial"/>
                <w:sz w:val="10"/>
                <w:szCs w:val="10"/>
                <w:color w:val="auto"/>
              </w:rPr>
              <w:t>3.18 %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Borrowings</w:t>
            </w:r>
          </w:p>
        </w:tc>
        <w:tc>
          <w:tcPr>
            <w:tcW w:w="220" w:type="dxa"/>
            <w:vAlign w:val="bottom"/>
          </w:tcPr>
          <w:p>
            <w:pPr>
              <w:spacing w:after="0"/>
              <w:rPr>
                <w:sz w:val="11"/>
                <w:szCs w:val="11"/>
                <w:color w:val="auto"/>
              </w:rPr>
            </w:pP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1,661,808</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19,858</w:t>
            </w:r>
          </w:p>
        </w:tc>
        <w:tc>
          <w:tcPr>
            <w:tcW w:w="940" w:type="dxa"/>
            <w:vAlign w:val="bottom"/>
          </w:tcPr>
          <w:p>
            <w:pPr>
              <w:jc w:val="right"/>
              <w:spacing w:after="0"/>
              <w:rPr>
                <w:sz w:val="20"/>
                <w:szCs w:val="20"/>
                <w:color w:val="auto"/>
              </w:rPr>
            </w:pPr>
            <w:r>
              <w:rPr>
                <w:rFonts w:ascii="Arial" w:cs="Arial" w:eastAsia="Arial" w:hAnsi="Arial"/>
                <w:sz w:val="10"/>
                <w:szCs w:val="10"/>
                <w:color w:val="auto"/>
              </w:rPr>
              <w:t>4.74 %</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1,705,697</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20,461</w:t>
            </w:r>
          </w:p>
        </w:tc>
        <w:tc>
          <w:tcPr>
            <w:tcW w:w="920" w:type="dxa"/>
            <w:vAlign w:val="bottom"/>
          </w:tcPr>
          <w:p>
            <w:pPr>
              <w:jc w:val="right"/>
              <w:spacing w:after="0"/>
              <w:rPr>
                <w:sz w:val="20"/>
                <w:szCs w:val="20"/>
                <w:color w:val="auto"/>
              </w:rPr>
            </w:pPr>
            <w:r>
              <w:rPr>
                <w:rFonts w:ascii="Arial" w:cs="Arial" w:eastAsia="Arial" w:hAnsi="Arial"/>
                <w:sz w:val="10"/>
                <w:szCs w:val="10"/>
                <w:color w:val="auto"/>
              </w:rPr>
              <w:t>4.76 %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1,399,080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18,993</w:t>
            </w:r>
          </w:p>
        </w:tc>
        <w:tc>
          <w:tcPr>
            <w:tcW w:w="940" w:type="dxa"/>
            <w:vAlign w:val="bottom"/>
          </w:tcPr>
          <w:p>
            <w:pPr>
              <w:jc w:val="right"/>
              <w:spacing w:after="0"/>
              <w:rPr>
                <w:sz w:val="20"/>
                <w:szCs w:val="20"/>
                <w:color w:val="auto"/>
              </w:rPr>
            </w:pPr>
            <w:r>
              <w:rPr>
                <w:rFonts w:ascii="Arial" w:cs="Arial" w:eastAsia="Arial" w:hAnsi="Arial"/>
                <w:sz w:val="10"/>
                <w:szCs w:val="10"/>
                <w:color w:val="auto"/>
              </w:rPr>
              <w:t>5.40 %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Subordinated debt</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951,471</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15,832</w:t>
            </w:r>
          </w:p>
        </w:tc>
        <w:tc>
          <w:tcPr>
            <w:tcW w:w="940" w:type="dxa"/>
            <w:vAlign w:val="bottom"/>
          </w:tcPr>
          <w:p>
            <w:pPr>
              <w:jc w:val="right"/>
              <w:spacing w:after="0"/>
              <w:rPr>
                <w:sz w:val="20"/>
                <w:szCs w:val="20"/>
                <w:color w:val="auto"/>
              </w:rPr>
            </w:pPr>
            <w:r>
              <w:rPr>
                <w:rFonts w:ascii="Arial" w:cs="Arial" w:eastAsia="Arial" w:hAnsi="Arial"/>
                <w:sz w:val="10"/>
                <w:szCs w:val="10"/>
                <w:color w:val="auto"/>
              </w:rPr>
              <w:t>6.60 %</w:t>
            </w: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949,690</w:t>
            </w: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15,562</w:t>
            </w:r>
          </w:p>
        </w:tc>
        <w:tc>
          <w:tcPr>
            <w:tcW w:w="920" w:type="dxa"/>
            <w:vAlign w:val="bottom"/>
          </w:tcPr>
          <w:p>
            <w:pPr>
              <w:jc w:val="right"/>
              <w:spacing w:after="0"/>
              <w:rPr>
                <w:sz w:val="20"/>
                <w:szCs w:val="20"/>
                <w:color w:val="auto"/>
              </w:rPr>
            </w:pPr>
            <w:r>
              <w:rPr>
                <w:rFonts w:ascii="Arial" w:cs="Arial" w:eastAsia="Arial" w:hAnsi="Arial"/>
                <w:sz w:val="10"/>
                <w:szCs w:val="10"/>
                <w:color w:val="auto"/>
              </w:rPr>
              <w:t>6.50 %</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942,221</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16,156</w:t>
            </w:r>
          </w:p>
        </w:tc>
        <w:tc>
          <w:tcPr>
            <w:tcW w:w="940" w:type="dxa"/>
            <w:vAlign w:val="bottom"/>
          </w:tcPr>
          <w:p>
            <w:pPr>
              <w:jc w:val="right"/>
              <w:spacing w:after="0"/>
              <w:rPr>
                <w:sz w:val="20"/>
                <w:szCs w:val="20"/>
                <w:color w:val="auto"/>
              </w:rPr>
            </w:pPr>
            <w:r>
              <w:rPr>
                <w:rFonts w:ascii="Arial" w:cs="Arial" w:eastAsia="Arial" w:hAnsi="Arial"/>
                <w:sz w:val="10"/>
                <w:szCs w:val="10"/>
                <w:color w:val="auto"/>
              </w:rPr>
              <w:t>6.82 %</w:t>
            </w:r>
          </w:p>
        </w:tc>
        <w:tc>
          <w:tcPr>
            <w:tcW w:w="0" w:type="dxa"/>
            <w:vAlign w:val="bottom"/>
          </w:tcPr>
          <w:p>
            <w:pPr>
              <w:spacing w:after="0"/>
              <w:rPr>
                <w:sz w:val="1"/>
                <w:szCs w:val="1"/>
                <w:color w:val="auto"/>
              </w:rPr>
            </w:pPr>
          </w:p>
        </w:tc>
      </w:tr>
      <w:tr>
        <w:trPr>
          <w:trHeight w:val="115"/>
        </w:trPr>
        <w:tc>
          <w:tcPr>
            <w:tcW w:w="2060" w:type="dxa"/>
            <w:vAlign w:val="bottom"/>
          </w:tcPr>
          <w:p>
            <w:pPr>
              <w:ind w:left="120"/>
              <w:spacing w:after="0"/>
              <w:rPr>
                <w:sz w:val="20"/>
                <w:szCs w:val="20"/>
                <w:color w:val="auto"/>
              </w:rPr>
            </w:pPr>
            <w:r>
              <w:rPr>
                <w:rFonts w:ascii="Arial" w:cs="Arial" w:eastAsia="Arial" w:hAnsi="Arial"/>
                <w:sz w:val="10"/>
                <w:szCs w:val="10"/>
                <w:color w:val="auto"/>
              </w:rPr>
              <w:t>Total interest-bearing</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180"/>
              <w:spacing w:after="0"/>
              <w:rPr>
                <w:sz w:val="20"/>
                <w:szCs w:val="20"/>
                <w:color w:val="auto"/>
              </w:rPr>
            </w:pPr>
            <w:r>
              <w:rPr>
                <w:rFonts w:ascii="Arial" w:cs="Arial" w:eastAsia="Arial" w:hAnsi="Arial"/>
                <w:sz w:val="10"/>
                <w:szCs w:val="10"/>
                <w:color w:val="auto"/>
              </w:rPr>
              <w:t>liabilities</w:t>
            </w:r>
          </w:p>
        </w:tc>
        <w:tc>
          <w:tcPr>
            <w:tcW w:w="220" w:type="dxa"/>
            <w:vAlign w:val="bottom"/>
          </w:tcPr>
          <w:p>
            <w:pPr>
              <w:spacing w:after="0"/>
              <w:rPr>
                <w:sz w:val="11"/>
                <w:szCs w:val="11"/>
                <w:color w:val="auto"/>
              </w:rPr>
            </w:pP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22,020,144</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165,586</w:t>
            </w:r>
          </w:p>
        </w:tc>
        <w:tc>
          <w:tcPr>
            <w:tcW w:w="940" w:type="dxa"/>
            <w:vAlign w:val="bottom"/>
          </w:tcPr>
          <w:p>
            <w:pPr>
              <w:jc w:val="right"/>
              <w:spacing w:after="0"/>
              <w:rPr>
                <w:sz w:val="20"/>
                <w:szCs w:val="20"/>
                <w:color w:val="auto"/>
              </w:rPr>
            </w:pPr>
            <w:r>
              <w:rPr>
                <w:rFonts w:ascii="Arial" w:cs="Arial" w:eastAsia="Arial" w:hAnsi="Arial"/>
                <w:sz w:val="10"/>
                <w:szCs w:val="10"/>
                <w:color w:val="auto"/>
              </w:rPr>
              <w:t>2.98 %</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22,264,293</w:t>
            </w: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179,097</w:t>
            </w:r>
          </w:p>
        </w:tc>
        <w:tc>
          <w:tcPr>
            <w:tcW w:w="920" w:type="dxa"/>
            <w:vAlign w:val="bottom"/>
          </w:tcPr>
          <w:p>
            <w:pPr>
              <w:jc w:val="right"/>
              <w:spacing w:after="0"/>
              <w:rPr>
                <w:sz w:val="20"/>
                <w:szCs w:val="20"/>
                <w:color w:val="auto"/>
              </w:rPr>
            </w:pPr>
            <w:r>
              <w:rPr>
                <w:rFonts w:ascii="Arial" w:cs="Arial" w:eastAsia="Arial" w:hAnsi="Arial"/>
                <w:sz w:val="10"/>
                <w:szCs w:val="10"/>
                <w:color w:val="auto"/>
              </w:rPr>
              <w:t>3.19 %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21,603,479</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189,234</w:t>
            </w:r>
          </w:p>
        </w:tc>
        <w:tc>
          <w:tcPr>
            <w:tcW w:w="940" w:type="dxa"/>
            <w:vAlign w:val="bottom"/>
          </w:tcPr>
          <w:p>
            <w:pPr>
              <w:jc w:val="right"/>
              <w:spacing w:after="0"/>
              <w:rPr>
                <w:sz w:val="20"/>
                <w:szCs w:val="20"/>
                <w:color w:val="auto"/>
              </w:rPr>
            </w:pPr>
            <w:r>
              <w:rPr>
                <w:rFonts w:ascii="Arial" w:cs="Arial" w:eastAsia="Arial" w:hAnsi="Arial"/>
                <w:sz w:val="10"/>
                <w:szCs w:val="10"/>
                <w:color w:val="auto"/>
              </w:rPr>
              <w:t>3.48 %</w:t>
            </w:r>
          </w:p>
        </w:tc>
        <w:tc>
          <w:tcPr>
            <w:tcW w:w="0" w:type="dxa"/>
            <w:vAlign w:val="bottom"/>
          </w:tcPr>
          <w:p>
            <w:pPr>
              <w:spacing w:after="0"/>
              <w:rPr>
                <w:sz w:val="1"/>
                <w:szCs w:val="1"/>
                <w:color w:val="auto"/>
              </w:rPr>
            </w:pPr>
          </w:p>
        </w:tc>
      </w:tr>
      <w:tr>
        <w:trPr>
          <w:trHeight w:val="115"/>
        </w:trPr>
        <w:tc>
          <w:tcPr>
            <w:tcW w:w="2060" w:type="dxa"/>
            <w:vAlign w:val="bottom"/>
          </w:tcPr>
          <w:p>
            <w:pPr>
              <w:spacing w:after="0"/>
              <w:rPr>
                <w:sz w:val="20"/>
                <w:szCs w:val="20"/>
                <w:color w:val="auto"/>
              </w:rPr>
            </w:pPr>
            <w:r>
              <w:rPr>
                <w:rFonts w:ascii="Arial" w:cs="Arial" w:eastAsia="Arial" w:hAnsi="Arial"/>
                <w:sz w:val="10"/>
                <w:szCs w:val="10"/>
                <w:color w:val="auto"/>
              </w:rPr>
              <w:t>Noninterest-bearing</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80"/>
              <w:spacing w:after="0"/>
              <w:rPr>
                <w:sz w:val="20"/>
                <w:szCs w:val="20"/>
                <w:color w:val="auto"/>
              </w:rPr>
            </w:pPr>
            <w:r>
              <w:rPr>
                <w:rFonts w:ascii="Arial" w:cs="Arial" w:eastAsia="Arial" w:hAnsi="Arial"/>
                <w:sz w:val="10"/>
                <w:szCs w:val="10"/>
                <w:color w:val="auto"/>
              </w:rPr>
              <w:t>demand deposits</w:t>
            </w:r>
          </w:p>
        </w:tc>
        <w:tc>
          <w:tcPr>
            <w:tcW w:w="220" w:type="dxa"/>
            <w:vAlign w:val="bottom"/>
          </w:tcPr>
          <w:p>
            <w:pPr>
              <w:spacing w:after="0"/>
              <w:rPr>
                <w:sz w:val="11"/>
                <w:szCs w:val="11"/>
                <w:color w:val="auto"/>
              </w:rPr>
            </w:pP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7,809,326</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7,683,136</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7,905,750</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Other liabilities</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428,873</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446,453</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566,635</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60" w:type="dxa"/>
            <w:vAlign w:val="bottom"/>
          </w:tcPr>
          <w:p>
            <w:pPr>
              <w:ind w:left="120"/>
              <w:spacing w:after="0"/>
              <w:rPr>
                <w:sz w:val="20"/>
                <w:szCs w:val="20"/>
                <w:color w:val="auto"/>
              </w:rPr>
            </w:pPr>
            <w:r>
              <w:rPr>
                <w:rFonts w:ascii="Arial" w:cs="Arial" w:eastAsia="Arial" w:hAnsi="Arial"/>
                <w:sz w:val="10"/>
                <w:szCs w:val="10"/>
                <w:color w:val="auto"/>
              </w:rPr>
              <w:t>Total liabilities</w:t>
            </w:r>
          </w:p>
        </w:tc>
        <w:tc>
          <w:tcPr>
            <w:tcW w:w="220" w:type="dxa"/>
            <w:vAlign w:val="bottom"/>
          </w:tcPr>
          <w:p>
            <w:pPr>
              <w:spacing w:after="0"/>
              <w:rPr>
                <w:sz w:val="10"/>
                <w:szCs w:val="10"/>
                <w:color w:val="auto"/>
              </w:rPr>
            </w:pP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30,258,343</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30,393,882</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30,075,864</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Stockholders' equity</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3,494,157</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3,437,335</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3,486,164</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60" w:type="dxa"/>
            <w:vAlign w:val="bottom"/>
          </w:tcPr>
          <w:p>
            <w:pPr>
              <w:ind w:left="120"/>
              <w:spacing w:after="0"/>
              <w:rPr>
                <w:sz w:val="20"/>
                <w:szCs w:val="20"/>
                <w:color w:val="auto"/>
              </w:rPr>
            </w:pPr>
            <w:r>
              <w:rPr>
                <w:rFonts w:ascii="Arial" w:cs="Arial" w:eastAsia="Arial" w:hAnsi="Arial"/>
                <w:sz w:val="10"/>
                <w:szCs w:val="10"/>
                <w:color w:val="auto"/>
              </w:rPr>
              <w:t>Total liabilities and</w:t>
            </w:r>
          </w:p>
        </w:tc>
        <w:tc>
          <w:tcPr>
            <w:tcW w:w="220" w:type="dxa"/>
            <w:vAlign w:val="bottom"/>
            <w:vMerge w:val="restart"/>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vMerge w:val="restart"/>
          </w:tcPr>
          <w:p>
            <w:pPr>
              <w:jc w:val="right"/>
              <w:ind w:right="12"/>
              <w:spacing w:after="0"/>
              <w:rPr>
                <w:sz w:val="20"/>
                <w:szCs w:val="20"/>
                <w:color w:val="auto"/>
              </w:rPr>
            </w:pPr>
            <w:r>
              <w:rPr>
                <w:rFonts w:ascii="Arial" w:cs="Arial" w:eastAsia="Arial" w:hAnsi="Arial"/>
                <w:sz w:val="10"/>
                <w:szCs w:val="10"/>
                <w:color w:val="auto"/>
              </w:rPr>
              <w:t>33,752,500</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33,831,217</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33,562,028</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180"/>
              <w:spacing w:after="0"/>
              <w:rPr>
                <w:sz w:val="20"/>
                <w:szCs w:val="20"/>
                <w:color w:val="auto"/>
              </w:rPr>
            </w:pPr>
            <w:r>
              <w:rPr>
                <w:rFonts w:ascii="Arial" w:cs="Arial" w:eastAsia="Arial" w:hAnsi="Arial"/>
                <w:sz w:val="10"/>
                <w:szCs w:val="10"/>
                <w:color w:val="auto"/>
              </w:rPr>
              <w:t>stockholders' equity</w:t>
            </w:r>
          </w:p>
        </w:tc>
        <w:tc>
          <w:tcPr>
            <w:tcW w:w="2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0"/>
                <w:szCs w:val="10"/>
                <w:color w:val="auto"/>
              </w:rPr>
              <w:t>Net interest income (1)</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251,362</w:t>
            </w: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253,444</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235,285</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0"/>
                <w:szCs w:val="10"/>
                <w:color w:val="auto"/>
              </w:rPr>
              <w:t>Net interest spread</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2.33 %</w:t>
            </w:r>
          </w:p>
        </w:tc>
        <w:tc>
          <w:tcPr>
            <w:tcW w:w="6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2.31 %</w:t>
            </w:r>
          </w:p>
        </w:tc>
        <w:tc>
          <w:tcPr>
            <w:tcW w:w="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2.00 %</w:t>
            </w:r>
          </w:p>
        </w:tc>
        <w:tc>
          <w:tcPr>
            <w:tcW w:w="0" w:type="dxa"/>
            <w:vAlign w:val="bottom"/>
          </w:tcPr>
          <w:p>
            <w:pPr>
              <w:spacing w:after="0" w:line="20" w:lineRule="exact"/>
              <w:rPr>
                <w:sz w:val="1"/>
                <w:szCs w:val="1"/>
                <w:color w:val="auto"/>
              </w:rPr>
            </w:pPr>
          </w:p>
        </w:tc>
      </w:tr>
      <w:tr>
        <w:trPr>
          <w:trHeight w:val="87"/>
        </w:trPr>
        <w:tc>
          <w:tcPr>
            <w:tcW w:w="20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Net interest margin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3.20 %</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3.22 %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3.04 %</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0"/>
                <w:szCs w:val="10"/>
                <w:color w:val="auto"/>
              </w:rPr>
              <w:t>Total deposits (2)</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27,216,191</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129,896</w:t>
            </w:r>
          </w:p>
        </w:tc>
        <w:tc>
          <w:tcPr>
            <w:tcW w:w="940" w:type="dxa"/>
            <w:vAlign w:val="bottom"/>
          </w:tcPr>
          <w:p>
            <w:pPr>
              <w:jc w:val="right"/>
              <w:spacing w:after="0"/>
              <w:rPr>
                <w:sz w:val="20"/>
                <w:szCs w:val="20"/>
                <w:color w:val="auto"/>
              </w:rPr>
            </w:pPr>
            <w:r>
              <w:rPr>
                <w:rFonts w:ascii="Arial" w:cs="Arial" w:eastAsia="Arial" w:hAnsi="Arial"/>
                <w:sz w:val="10"/>
                <w:szCs w:val="10"/>
                <w:color w:val="auto"/>
              </w:rPr>
              <w:t>1.89 %</w:t>
            </w:r>
          </w:p>
        </w:tc>
        <w:tc>
          <w:tcPr>
            <w:tcW w:w="60" w:type="dxa"/>
            <w:vAlign w:val="bottom"/>
          </w:tcPr>
          <w:p>
            <w:pPr>
              <w:spacing w:after="0"/>
              <w:rPr>
                <w:sz w:val="23"/>
                <w:szCs w:val="23"/>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27,292,042</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143,074</w:t>
            </w:r>
          </w:p>
        </w:tc>
        <w:tc>
          <w:tcPr>
            <w:tcW w:w="920" w:type="dxa"/>
            <w:vAlign w:val="bottom"/>
          </w:tcPr>
          <w:p>
            <w:pPr>
              <w:jc w:val="right"/>
              <w:spacing w:after="0"/>
              <w:rPr>
                <w:sz w:val="20"/>
                <w:szCs w:val="20"/>
                <w:color w:val="auto"/>
              </w:rPr>
            </w:pPr>
            <w:r>
              <w:rPr>
                <w:rFonts w:ascii="Arial" w:cs="Arial" w:eastAsia="Arial" w:hAnsi="Arial"/>
                <w:sz w:val="10"/>
                <w:szCs w:val="10"/>
                <w:color w:val="auto"/>
              </w:rPr>
              <w:t>2.08 %</w:t>
            </w:r>
          </w:p>
        </w:tc>
        <w:tc>
          <w:tcPr>
            <w:tcW w:w="80" w:type="dxa"/>
            <w:vAlign w:val="bottom"/>
          </w:tcPr>
          <w:p>
            <w:pPr>
              <w:spacing w:after="0"/>
              <w:rPr>
                <w:sz w:val="23"/>
                <w:szCs w:val="2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27,167,928</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154,085</w:t>
            </w:r>
          </w:p>
        </w:tc>
        <w:tc>
          <w:tcPr>
            <w:tcW w:w="940" w:type="dxa"/>
            <w:vAlign w:val="bottom"/>
          </w:tcPr>
          <w:p>
            <w:pPr>
              <w:jc w:val="right"/>
              <w:spacing w:after="0"/>
              <w:rPr>
                <w:sz w:val="20"/>
                <w:szCs w:val="20"/>
                <w:color w:val="auto"/>
              </w:rPr>
            </w:pPr>
            <w:r>
              <w:rPr>
                <w:rFonts w:ascii="Arial" w:cs="Arial" w:eastAsia="Arial" w:hAnsi="Arial"/>
                <w:sz w:val="10"/>
                <w:szCs w:val="10"/>
                <w:color w:val="auto"/>
              </w:rPr>
              <w:t>2.26 %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Total funds (3)</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12"/>
              <w:spacing w:after="0"/>
              <w:rPr>
                <w:sz w:val="20"/>
                <w:szCs w:val="20"/>
                <w:color w:val="auto"/>
              </w:rPr>
            </w:pPr>
            <w:r>
              <w:rPr>
                <w:rFonts w:ascii="Arial" w:cs="Arial" w:eastAsia="Arial" w:hAnsi="Arial"/>
                <w:sz w:val="10"/>
                <w:szCs w:val="10"/>
                <w:color w:val="auto"/>
              </w:rPr>
              <w:t>29,829,470</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165,586</w:t>
            </w:r>
          </w:p>
        </w:tc>
        <w:tc>
          <w:tcPr>
            <w:tcW w:w="940" w:type="dxa"/>
            <w:vAlign w:val="bottom"/>
          </w:tcPr>
          <w:p>
            <w:pPr>
              <w:jc w:val="right"/>
              <w:spacing w:after="0"/>
              <w:rPr>
                <w:sz w:val="20"/>
                <w:szCs w:val="20"/>
                <w:color w:val="auto"/>
              </w:rPr>
            </w:pPr>
            <w:r>
              <w:rPr>
                <w:rFonts w:ascii="Arial" w:cs="Arial" w:eastAsia="Arial" w:hAnsi="Arial"/>
                <w:sz w:val="10"/>
                <w:szCs w:val="10"/>
                <w:color w:val="auto"/>
              </w:rPr>
              <w:t>2.20 %</w:t>
            </w:r>
          </w:p>
        </w:tc>
        <w:tc>
          <w:tcPr>
            <w:tcW w:w="6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29,947,429</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179,097</w:t>
            </w:r>
          </w:p>
        </w:tc>
        <w:tc>
          <w:tcPr>
            <w:tcW w:w="920" w:type="dxa"/>
            <w:vAlign w:val="bottom"/>
          </w:tcPr>
          <w:p>
            <w:pPr>
              <w:jc w:val="right"/>
              <w:spacing w:after="0"/>
              <w:rPr>
                <w:sz w:val="20"/>
                <w:szCs w:val="20"/>
                <w:color w:val="auto"/>
              </w:rPr>
            </w:pPr>
            <w:r>
              <w:rPr>
                <w:rFonts w:ascii="Arial" w:cs="Arial" w:eastAsia="Arial" w:hAnsi="Arial"/>
                <w:sz w:val="10"/>
                <w:szCs w:val="10"/>
                <w:color w:val="auto"/>
              </w:rPr>
              <w:t>2.37 %</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29,509,229</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189,234</w:t>
            </w:r>
          </w:p>
        </w:tc>
        <w:tc>
          <w:tcPr>
            <w:tcW w:w="940" w:type="dxa"/>
            <w:vAlign w:val="bottom"/>
          </w:tcPr>
          <w:p>
            <w:pPr>
              <w:jc w:val="right"/>
              <w:spacing w:after="0"/>
              <w:rPr>
                <w:sz w:val="20"/>
                <w:szCs w:val="20"/>
                <w:color w:val="auto"/>
              </w:rPr>
            </w:pPr>
            <w:r>
              <w:rPr>
                <w:rFonts w:ascii="Arial" w:cs="Arial" w:eastAsia="Arial" w:hAnsi="Arial"/>
                <w:sz w:val="10"/>
                <w:szCs w:val="10"/>
                <w:color w:val="auto"/>
              </w:rPr>
              <w:t>2.55 %</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color w:val="6D6D6D"/>
        </w:rPr>
        <w:t>______________</w:t>
      </w:r>
    </w:p>
    <w:p>
      <w:pPr>
        <w:spacing w:after="0" w:line="15" w:lineRule="exact"/>
        <w:rPr>
          <w:sz w:val="20"/>
          <w:szCs w:val="20"/>
          <w:color w:val="auto"/>
        </w:rPr>
      </w:pPr>
    </w:p>
    <w:p>
      <w:pPr>
        <w:ind w:left="148" w:hanging="148"/>
        <w:spacing w:after="0"/>
        <w:tabs>
          <w:tab w:leader="none" w:pos="148" w:val="left"/>
        </w:tabs>
        <w:numPr>
          <w:ilvl w:val="0"/>
          <w:numId w:val="13"/>
        </w:numPr>
        <w:rPr>
          <w:rFonts w:ascii="Arial" w:cs="Arial" w:eastAsia="Arial" w:hAnsi="Arial"/>
          <w:sz w:val="10"/>
          <w:szCs w:val="10"/>
          <w:color w:val="6D6D6D"/>
        </w:rPr>
      </w:pPr>
      <w:r>
        <w:rPr>
          <w:rFonts w:ascii="Arial" w:cs="Arial" w:eastAsia="Arial" w:hAnsi="Arial"/>
          <w:sz w:val="10"/>
          <w:szCs w:val="10"/>
          <w:color w:val="6D6D6D"/>
        </w:rPr>
        <w:t>Includes net loan discount accretion of $12.7 million, $19.3 million, and $20.7 million for the three months ended December 31, 2025, September 30, 2025, and December 31, 2024.</w:t>
      </w:r>
    </w:p>
    <w:p>
      <w:pPr>
        <w:ind w:left="148" w:hanging="148"/>
        <w:spacing w:after="0"/>
        <w:tabs>
          <w:tab w:leader="none" w:pos="148" w:val="left"/>
        </w:tabs>
        <w:numPr>
          <w:ilvl w:val="0"/>
          <w:numId w:val="13"/>
        </w:numPr>
        <w:rPr>
          <w:rFonts w:ascii="Arial" w:cs="Arial" w:eastAsia="Arial" w:hAnsi="Arial"/>
          <w:sz w:val="10"/>
          <w:szCs w:val="10"/>
          <w:color w:val="6D6D6D"/>
        </w:rPr>
      </w:pPr>
      <w:r>
        <w:rPr>
          <w:rFonts w:ascii="Arial" w:cs="Arial" w:eastAsia="Arial" w:hAnsi="Arial"/>
          <w:sz w:val="10"/>
          <w:szCs w:val="10"/>
          <w:color w:val="6D6D6D"/>
        </w:rPr>
        <w:t>Total deposits is the sum of total interest-bearing deposits and noninterest-bearing demand deposits. The cost of total deposits is calculated as annualized interest expense on total deposits divided by average total deposits.</w:t>
      </w:r>
    </w:p>
    <w:p>
      <w:pPr>
        <w:spacing w:after="0" w:line="1" w:lineRule="exact"/>
        <w:rPr>
          <w:rFonts w:ascii="Arial" w:cs="Arial" w:eastAsia="Arial" w:hAnsi="Arial"/>
          <w:sz w:val="10"/>
          <w:szCs w:val="10"/>
          <w:color w:val="6D6D6D"/>
        </w:rPr>
      </w:pPr>
    </w:p>
    <w:p>
      <w:pPr>
        <w:ind w:left="148" w:hanging="148"/>
        <w:spacing w:after="0"/>
        <w:tabs>
          <w:tab w:leader="none" w:pos="148" w:val="left"/>
        </w:tabs>
        <w:numPr>
          <w:ilvl w:val="0"/>
          <w:numId w:val="13"/>
        </w:numPr>
        <w:rPr>
          <w:rFonts w:ascii="Arial" w:cs="Arial" w:eastAsia="Arial" w:hAnsi="Arial"/>
          <w:sz w:val="10"/>
          <w:szCs w:val="10"/>
          <w:color w:val="6D6D6D"/>
        </w:rPr>
      </w:pPr>
      <w:r>
        <w:rPr>
          <w:rFonts w:ascii="Arial" w:cs="Arial" w:eastAsia="Arial" w:hAnsi="Arial"/>
          <w:sz w:val="10"/>
          <w:szCs w:val="10"/>
          <w:color w:val="6D6D6D"/>
        </w:rPr>
        <w:t>Total funds is the sum of total interest-bearing liabilities and noninterest-bearing demand deposits. The cost of total funds is calculated as annualized total interest expense divided by average total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548640"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22</w:t>
      </w:r>
    </w:p>
    <w:p>
      <w:pPr>
        <w:sectPr>
          <w:pgSz w:w="11900" w:h="16838" w:orient="portrait"/>
          <w:cols w:equalWidth="0" w:num="1">
            <w:col w:w="11308"/>
          </w:cols>
          <w:pgMar w:left="292" w:top="907" w:right="299" w:bottom="1440" w:gutter="0" w:footer="0" w:header="0"/>
        </w:sectPr>
      </w:pPr>
    </w:p>
    <w:bookmarkStart w:id="26" w:name="page27"/>
    <w:bookmarkEnd w:id="26"/>
    <w:p>
      <w:pPr>
        <w:ind w:left="8"/>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AVERAGE BALANCE, AVERAGE YIELD EARNED, AND AVERAGE COST PAID</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(UNAUDITED)</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20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Year Ended</w:t>
            </w:r>
          </w:p>
        </w:tc>
        <w:tc>
          <w:tcPr>
            <w:tcW w:w="9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December 31, 2025</w:t>
            </w:r>
          </w:p>
        </w:tc>
        <w:tc>
          <w:tcPr>
            <w:tcW w:w="10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December 31, 2024</w:t>
            </w: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172"/>
              <w:spacing w:after="0"/>
              <w:rPr>
                <w:sz w:val="20"/>
                <w:szCs w:val="20"/>
                <w:color w:val="auto"/>
              </w:rPr>
            </w:pPr>
            <w:r>
              <w:rPr>
                <w:rFonts w:ascii="Arial" w:cs="Arial" w:eastAsia="Arial" w:hAnsi="Arial"/>
                <w:sz w:val="10"/>
                <w:szCs w:val="10"/>
                <w:b w:val="1"/>
                <w:bCs w:val="1"/>
                <w:color w:val="auto"/>
                <w:w w:val="93"/>
              </w:rPr>
              <w:t>Interest</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Average</w:t>
            </w: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ind w:right="152"/>
              <w:spacing w:after="0"/>
              <w:rPr>
                <w:sz w:val="20"/>
                <w:szCs w:val="20"/>
                <w:color w:val="auto"/>
              </w:rPr>
            </w:pPr>
            <w:r>
              <w:rPr>
                <w:rFonts w:ascii="Arial" w:cs="Arial" w:eastAsia="Arial" w:hAnsi="Arial"/>
                <w:sz w:val="10"/>
                <w:szCs w:val="10"/>
                <w:b w:val="1"/>
                <w:bCs w:val="1"/>
                <w:color w:val="auto"/>
                <w:w w:val="93"/>
              </w:rPr>
              <w:t>Interest</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412"/>
              <w:spacing w:after="0"/>
              <w:rPr>
                <w:sz w:val="20"/>
                <w:szCs w:val="20"/>
                <w:color w:val="auto"/>
              </w:rPr>
            </w:pPr>
            <w:r>
              <w:rPr>
                <w:rFonts w:ascii="Arial" w:cs="Arial" w:eastAsia="Arial" w:hAnsi="Arial"/>
                <w:sz w:val="10"/>
                <w:szCs w:val="10"/>
                <w:b w:val="1"/>
                <w:bCs w:val="1"/>
                <w:color w:val="auto"/>
              </w:rPr>
              <w:t>Average</w:t>
            </w:r>
          </w:p>
        </w:tc>
        <w:tc>
          <w:tcPr>
            <w:tcW w:w="200" w:type="dxa"/>
            <w:vAlign w:val="bottom"/>
          </w:tcPr>
          <w:p>
            <w:pPr>
              <w:spacing w:after="0"/>
              <w:rPr>
                <w:sz w:val="11"/>
                <w:szCs w:val="11"/>
                <w:color w:val="auto"/>
              </w:rPr>
            </w:pPr>
          </w:p>
        </w:tc>
        <w:tc>
          <w:tcPr>
            <w:tcW w:w="880" w:type="dxa"/>
            <w:vAlign w:val="bottom"/>
          </w:tcPr>
          <w:p>
            <w:pPr>
              <w:jc w:val="center"/>
              <w:ind w:right="172"/>
              <w:spacing w:after="0"/>
              <w:rPr>
                <w:sz w:val="20"/>
                <w:szCs w:val="20"/>
                <w:color w:val="auto"/>
              </w:rPr>
            </w:pPr>
            <w:r>
              <w:rPr>
                <w:rFonts w:ascii="Arial" w:cs="Arial" w:eastAsia="Arial" w:hAnsi="Arial"/>
                <w:sz w:val="10"/>
                <w:szCs w:val="10"/>
                <w:b w:val="1"/>
                <w:bCs w:val="1"/>
                <w:color w:val="auto"/>
              </w:rPr>
              <w:t>Income/</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Yield/</w:t>
            </w:r>
          </w:p>
        </w:tc>
        <w:tc>
          <w:tcPr>
            <w:tcW w:w="340" w:type="dxa"/>
            <w:vAlign w:val="bottom"/>
          </w:tcPr>
          <w:p>
            <w:pPr>
              <w:spacing w:after="0"/>
              <w:rPr>
                <w:sz w:val="11"/>
                <w:szCs w:val="11"/>
                <w:color w:val="auto"/>
              </w:rPr>
            </w:pPr>
          </w:p>
        </w:tc>
        <w:tc>
          <w:tcPr>
            <w:tcW w:w="920" w:type="dxa"/>
            <w:vAlign w:val="bottom"/>
          </w:tcPr>
          <w:p>
            <w:pPr>
              <w:jc w:val="right"/>
              <w:ind w:right="392"/>
              <w:spacing w:after="0"/>
              <w:rPr>
                <w:sz w:val="20"/>
                <w:szCs w:val="20"/>
                <w:color w:val="auto"/>
              </w:rPr>
            </w:pPr>
            <w:r>
              <w:rPr>
                <w:rFonts w:ascii="Arial" w:cs="Arial" w:eastAsia="Arial" w:hAnsi="Arial"/>
                <w:sz w:val="10"/>
                <w:szCs w:val="10"/>
                <w:b w:val="1"/>
                <w:bCs w:val="1"/>
                <w:color w:val="auto"/>
              </w:rPr>
              <w:t>Average</w:t>
            </w:r>
          </w:p>
        </w:tc>
        <w:tc>
          <w:tcPr>
            <w:tcW w:w="220" w:type="dxa"/>
            <w:vAlign w:val="bottom"/>
          </w:tcPr>
          <w:p>
            <w:pPr>
              <w:spacing w:after="0"/>
              <w:rPr>
                <w:sz w:val="11"/>
                <w:szCs w:val="11"/>
                <w:color w:val="auto"/>
              </w:rPr>
            </w:pPr>
          </w:p>
        </w:tc>
        <w:tc>
          <w:tcPr>
            <w:tcW w:w="860" w:type="dxa"/>
            <w:vAlign w:val="bottom"/>
          </w:tcPr>
          <w:p>
            <w:pPr>
              <w:jc w:val="center"/>
              <w:ind w:right="152"/>
              <w:spacing w:after="0"/>
              <w:rPr>
                <w:sz w:val="20"/>
                <w:szCs w:val="20"/>
                <w:color w:val="auto"/>
              </w:rPr>
            </w:pPr>
            <w:r>
              <w:rPr>
                <w:rFonts w:ascii="Arial" w:cs="Arial" w:eastAsia="Arial" w:hAnsi="Arial"/>
                <w:sz w:val="10"/>
                <w:szCs w:val="10"/>
                <w:b w:val="1"/>
                <w:bCs w:val="1"/>
                <w:color w:val="auto"/>
              </w:rPr>
              <w:t>Income/</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7"/>
              </w:rPr>
              <w:t>Yield/</w:t>
            </w:r>
          </w:p>
        </w:tc>
        <w:tc>
          <w:tcPr>
            <w:tcW w:w="0" w:type="dxa"/>
            <w:vAlign w:val="bottom"/>
          </w:tcPr>
          <w:p>
            <w:pPr>
              <w:spacing w:after="0"/>
              <w:rPr>
                <w:sz w:val="1"/>
                <w:szCs w:val="1"/>
                <w:color w:val="auto"/>
              </w:rPr>
            </w:pPr>
          </w:p>
        </w:tc>
      </w:tr>
      <w:tr>
        <w:trPr>
          <w:trHeight w:val="136"/>
        </w:trPr>
        <w:tc>
          <w:tcPr>
            <w:tcW w:w="20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Balance</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2"/>
              </w:rPr>
              <w:t>Expense</w:t>
            </w:r>
          </w:p>
        </w:tc>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8"/>
              </w:rPr>
              <w:t>Cost</w:t>
            </w: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Balance</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52"/>
              <w:spacing w:after="0"/>
              <w:rPr>
                <w:sz w:val="20"/>
                <w:szCs w:val="20"/>
                <w:color w:val="auto"/>
              </w:rPr>
            </w:pPr>
            <w:r>
              <w:rPr>
                <w:rFonts w:ascii="Arial" w:cs="Arial" w:eastAsia="Arial" w:hAnsi="Arial"/>
                <w:sz w:val="10"/>
                <w:szCs w:val="10"/>
                <w:b w:val="1"/>
                <w:bCs w:val="1"/>
                <w:color w:val="auto"/>
                <w:w w:val="92"/>
              </w:rPr>
              <w:t>Expense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Cost</w:t>
            </w: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gridSpan w:val="4"/>
          </w:tcPr>
          <w:p>
            <w:pPr>
              <w:jc w:val="right"/>
              <w:ind w:right="752"/>
              <w:spacing w:after="0"/>
              <w:rPr>
                <w:sz w:val="20"/>
                <w:szCs w:val="20"/>
                <w:color w:val="auto"/>
              </w:rPr>
            </w:pPr>
            <w:r>
              <w:rPr>
                <w:rFonts w:ascii="Arial" w:cs="Arial" w:eastAsia="Arial" w:hAnsi="Arial"/>
                <w:sz w:val="10"/>
                <w:szCs w:val="10"/>
                <w:b w:val="1"/>
                <w:bCs w:val="1"/>
                <w:i w:val="1"/>
                <w:iCs w:val="1"/>
                <w:color w:val="auto"/>
              </w:rPr>
              <w:t>(Dollars in thousands)</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20"/>
                <w:szCs w:val="20"/>
                <w:color w:val="auto"/>
              </w:rPr>
            </w:pPr>
            <w:r>
              <w:rPr>
                <w:rFonts w:ascii="Arial" w:cs="Arial" w:eastAsia="Arial" w:hAnsi="Arial"/>
                <w:sz w:val="10"/>
                <w:szCs w:val="10"/>
                <w:color w:val="auto"/>
              </w:rPr>
              <w:t>Loans and leases (1)</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24,300,808</w:t>
            </w:r>
          </w:p>
        </w:tc>
        <w:tc>
          <w:tcPr>
            <w:tcW w:w="200" w:type="dxa"/>
            <w:vAlign w:val="bottom"/>
          </w:tcPr>
          <w:p>
            <w:pPr>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1,440,397</w:t>
            </w:r>
          </w:p>
        </w:tc>
        <w:tc>
          <w:tcPr>
            <w:tcW w:w="1080" w:type="dxa"/>
            <w:vAlign w:val="bottom"/>
          </w:tcPr>
          <w:p>
            <w:pPr>
              <w:jc w:val="right"/>
              <w:spacing w:after="0"/>
              <w:rPr>
                <w:sz w:val="20"/>
                <w:szCs w:val="20"/>
                <w:color w:val="auto"/>
              </w:rPr>
            </w:pPr>
            <w:r>
              <w:rPr>
                <w:rFonts w:ascii="Arial" w:cs="Arial" w:eastAsia="Arial" w:hAnsi="Arial"/>
                <w:sz w:val="10"/>
                <w:szCs w:val="10"/>
                <w:color w:val="auto"/>
              </w:rPr>
              <w:t>5.93 %</w:t>
            </w:r>
          </w:p>
        </w:tc>
        <w:tc>
          <w:tcPr>
            <w:tcW w:w="80" w:type="dxa"/>
            <w:vAlign w:val="bottom"/>
          </w:tcPr>
          <w:p>
            <w:pPr>
              <w:spacing w:after="0"/>
              <w:rPr>
                <w:sz w:val="11"/>
                <w:szCs w:val="11"/>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24,569,650</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1,501,534</w:t>
            </w:r>
          </w:p>
        </w:tc>
        <w:tc>
          <w:tcPr>
            <w:tcW w:w="1100" w:type="dxa"/>
            <w:vAlign w:val="bottom"/>
          </w:tcPr>
          <w:p>
            <w:pPr>
              <w:jc w:val="right"/>
              <w:spacing w:after="0"/>
              <w:rPr>
                <w:sz w:val="20"/>
                <w:szCs w:val="20"/>
                <w:color w:val="auto"/>
              </w:rPr>
            </w:pPr>
            <w:r>
              <w:rPr>
                <w:rFonts w:ascii="Arial" w:cs="Arial" w:eastAsia="Arial" w:hAnsi="Arial"/>
                <w:sz w:val="10"/>
                <w:szCs w:val="10"/>
                <w:color w:val="auto"/>
              </w:rPr>
              <w:t>6.11 %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Investment securities</w:t>
            </w:r>
          </w:p>
        </w:tc>
        <w:tc>
          <w:tcPr>
            <w:tcW w:w="26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4,782,267</w:t>
            </w:r>
          </w:p>
        </w:tc>
        <w:tc>
          <w:tcPr>
            <w:tcW w:w="2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153,326</w:t>
            </w:r>
          </w:p>
        </w:tc>
        <w:tc>
          <w:tcPr>
            <w:tcW w:w="1080" w:type="dxa"/>
            <w:vAlign w:val="bottom"/>
          </w:tcPr>
          <w:p>
            <w:pPr>
              <w:jc w:val="right"/>
              <w:spacing w:after="0"/>
              <w:rPr>
                <w:sz w:val="20"/>
                <w:szCs w:val="20"/>
                <w:color w:val="auto"/>
              </w:rPr>
            </w:pPr>
            <w:r>
              <w:rPr>
                <w:rFonts w:ascii="Arial" w:cs="Arial" w:eastAsia="Arial" w:hAnsi="Arial"/>
                <w:sz w:val="10"/>
                <w:szCs w:val="10"/>
                <w:color w:val="auto"/>
              </w:rPr>
              <w:t>3.21 %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4,686,615</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140,794</w:t>
            </w:r>
          </w:p>
        </w:tc>
        <w:tc>
          <w:tcPr>
            <w:tcW w:w="1100" w:type="dxa"/>
            <w:vAlign w:val="bottom"/>
          </w:tcPr>
          <w:p>
            <w:pPr>
              <w:jc w:val="right"/>
              <w:spacing w:after="0"/>
              <w:rPr>
                <w:sz w:val="20"/>
                <w:szCs w:val="20"/>
                <w:color w:val="auto"/>
              </w:rPr>
            </w:pPr>
            <w:r>
              <w:rPr>
                <w:rFonts w:ascii="Arial" w:cs="Arial" w:eastAsia="Arial" w:hAnsi="Arial"/>
                <w:sz w:val="10"/>
                <w:szCs w:val="10"/>
                <w:color w:val="auto"/>
              </w:rPr>
              <w:t>3.00 %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Deposits in financial</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80"/>
              <w:spacing w:after="0"/>
              <w:rPr>
                <w:sz w:val="20"/>
                <w:szCs w:val="20"/>
                <w:color w:val="auto"/>
              </w:rPr>
            </w:pPr>
            <w:r>
              <w:rPr>
                <w:rFonts w:ascii="Arial" w:cs="Arial" w:eastAsia="Arial" w:hAnsi="Arial"/>
                <w:sz w:val="10"/>
                <w:szCs w:val="10"/>
                <w:color w:val="auto"/>
              </w:rPr>
              <w:t>institutions</w:t>
            </w: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1,937,775</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82,930</w:t>
            </w:r>
          </w:p>
        </w:tc>
        <w:tc>
          <w:tcPr>
            <w:tcW w:w="1080" w:type="dxa"/>
            <w:vAlign w:val="bottom"/>
          </w:tcPr>
          <w:p>
            <w:pPr>
              <w:jc w:val="right"/>
              <w:spacing w:after="0"/>
              <w:rPr>
                <w:sz w:val="20"/>
                <w:szCs w:val="20"/>
                <w:color w:val="auto"/>
              </w:rPr>
            </w:pPr>
            <w:r>
              <w:rPr>
                <w:rFonts w:ascii="Arial" w:cs="Arial" w:eastAsia="Arial" w:hAnsi="Arial"/>
                <w:sz w:val="10"/>
                <w:szCs w:val="10"/>
                <w:color w:val="auto"/>
              </w:rPr>
              <w:t>4.28 %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3,226,658</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170,377</w:t>
            </w:r>
          </w:p>
        </w:tc>
        <w:tc>
          <w:tcPr>
            <w:tcW w:w="1100" w:type="dxa"/>
            <w:vAlign w:val="bottom"/>
          </w:tcPr>
          <w:p>
            <w:pPr>
              <w:jc w:val="right"/>
              <w:spacing w:after="0"/>
              <w:rPr>
                <w:sz w:val="20"/>
                <w:szCs w:val="20"/>
                <w:color w:val="auto"/>
              </w:rPr>
            </w:pPr>
            <w:r>
              <w:rPr>
                <w:rFonts w:ascii="Arial" w:cs="Arial" w:eastAsia="Arial" w:hAnsi="Arial"/>
                <w:sz w:val="10"/>
                <w:szCs w:val="10"/>
                <w:color w:val="auto"/>
              </w:rPr>
              <w:t>5.28 %</w:t>
            </w:r>
          </w:p>
        </w:tc>
        <w:tc>
          <w:tcPr>
            <w:tcW w:w="0" w:type="dxa"/>
            <w:vAlign w:val="bottom"/>
          </w:tcPr>
          <w:p>
            <w:pPr>
              <w:spacing w:after="0"/>
              <w:rPr>
                <w:sz w:val="1"/>
                <w:szCs w:val="1"/>
                <w:color w:val="auto"/>
              </w:rPr>
            </w:pPr>
          </w:p>
        </w:tc>
      </w:tr>
      <w:tr>
        <w:trPr>
          <w:trHeight w:val="115"/>
        </w:trPr>
        <w:tc>
          <w:tcPr>
            <w:tcW w:w="2060" w:type="dxa"/>
            <w:vAlign w:val="bottom"/>
          </w:tcPr>
          <w:p>
            <w:pPr>
              <w:ind w:left="120"/>
              <w:spacing w:after="0"/>
              <w:rPr>
                <w:sz w:val="20"/>
                <w:szCs w:val="20"/>
                <w:color w:val="auto"/>
              </w:rPr>
            </w:pPr>
            <w:r>
              <w:rPr>
                <w:rFonts w:ascii="Arial" w:cs="Arial" w:eastAsia="Arial" w:hAnsi="Arial"/>
                <w:sz w:val="10"/>
                <w:szCs w:val="10"/>
                <w:color w:val="auto"/>
              </w:rPr>
              <w:t>Total interest-earning</w:t>
            </w: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180"/>
              <w:spacing w:after="0"/>
              <w:rPr>
                <w:sz w:val="20"/>
                <w:szCs w:val="20"/>
                <w:color w:val="auto"/>
              </w:rPr>
            </w:pPr>
            <w:r>
              <w:rPr>
                <w:rFonts w:ascii="Arial" w:cs="Arial" w:eastAsia="Arial" w:hAnsi="Arial"/>
                <w:sz w:val="10"/>
                <w:szCs w:val="10"/>
                <w:color w:val="auto"/>
              </w:rPr>
              <w:t>assets</w:t>
            </w:r>
          </w:p>
        </w:tc>
        <w:tc>
          <w:tcPr>
            <w:tcW w:w="26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31,020,850</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1,676,653</w:t>
            </w:r>
          </w:p>
        </w:tc>
        <w:tc>
          <w:tcPr>
            <w:tcW w:w="1080" w:type="dxa"/>
            <w:vAlign w:val="bottom"/>
          </w:tcPr>
          <w:p>
            <w:pPr>
              <w:jc w:val="right"/>
              <w:spacing w:after="0"/>
              <w:rPr>
                <w:sz w:val="20"/>
                <w:szCs w:val="20"/>
                <w:color w:val="auto"/>
              </w:rPr>
            </w:pPr>
            <w:r>
              <w:rPr>
                <w:rFonts w:ascii="Arial" w:cs="Arial" w:eastAsia="Arial" w:hAnsi="Arial"/>
                <w:sz w:val="10"/>
                <w:szCs w:val="10"/>
                <w:color w:val="auto"/>
              </w:rPr>
              <w:t>5.40 %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32,482,923</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1,812,705</w:t>
            </w:r>
          </w:p>
        </w:tc>
        <w:tc>
          <w:tcPr>
            <w:tcW w:w="1100" w:type="dxa"/>
            <w:vAlign w:val="bottom"/>
          </w:tcPr>
          <w:p>
            <w:pPr>
              <w:jc w:val="right"/>
              <w:spacing w:after="0"/>
              <w:rPr>
                <w:sz w:val="20"/>
                <w:szCs w:val="20"/>
                <w:color w:val="auto"/>
              </w:rPr>
            </w:pPr>
            <w:r>
              <w:rPr>
                <w:rFonts w:ascii="Arial" w:cs="Arial" w:eastAsia="Arial" w:hAnsi="Arial"/>
                <w:sz w:val="10"/>
                <w:szCs w:val="10"/>
                <w:color w:val="auto"/>
              </w:rPr>
              <w:t>5.58 %</w:t>
            </w:r>
          </w:p>
        </w:tc>
        <w:tc>
          <w:tcPr>
            <w:tcW w:w="0" w:type="dxa"/>
            <w:vAlign w:val="bottom"/>
          </w:tcPr>
          <w:p>
            <w:pPr>
              <w:spacing w:after="0"/>
              <w:rPr>
                <w:sz w:val="1"/>
                <w:szCs w:val="1"/>
                <w:color w:val="auto"/>
              </w:rPr>
            </w:pPr>
          </w:p>
        </w:tc>
      </w:tr>
      <w:tr>
        <w:trPr>
          <w:trHeight w:val="118"/>
        </w:trPr>
        <w:tc>
          <w:tcPr>
            <w:tcW w:w="2060" w:type="dxa"/>
            <w:vAlign w:val="bottom"/>
          </w:tcPr>
          <w:p>
            <w:pPr>
              <w:spacing w:after="0"/>
              <w:rPr>
                <w:sz w:val="20"/>
                <w:szCs w:val="20"/>
                <w:color w:val="auto"/>
              </w:rPr>
            </w:pPr>
            <w:r>
              <w:rPr>
                <w:rFonts w:ascii="Arial" w:cs="Arial" w:eastAsia="Arial" w:hAnsi="Arial"/>
                <w:sz w:val="10"/>
                <w:szCs w:val="10"/>
                <w:color w:val="auto"/>
              </w:rPr>
              <w:t>Other assets</w:t>
            </w: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2,644,888</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2,850,565</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60" w:type="dxa"/>
            <w:vAlign w:val="bottom"/>
          </w:tcPr>
          <w:p>
            <w:pPr>
              <w:ind w:left="120"/>
              <w:spacing w:after="0"/>
              <w:rPr>
                <w:sz w:val="20"/>
                <w:szCs w:val="20"/>
                <w:color w:val="auto"/>
              </w:rPr>
            </w:pPr>
            <w:r>
              <w:rPr>
                <w:rFonts w:ascii="Arial" w:cs="Arial" w:eastAsia="Arial" w:hAnsi="Arial"/>
                <w:sz w:val="10"/>
                <w:szCs w:val="10"/>
                <w:color w:val="auto"/>
              </w:rPr>
              <w:t>Total assets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33,665,738</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35,333,488</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0"/>
                <w:szCs w:val="10"/>
                <w:b w:val="1"/>
                <w:bCs w:val="1"/>
                <w:color w:val="auto"/>
              </w:rPr>
              <w:t>Liabilities and</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b w:val="1"/>
                <w:bCs w:val="1"/>
                <w:color w:val="auto"/>
              </w:rPr>
              <w:t>Stockholders' Equity:</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20"/>
                <w:szCs w:val="20"/>
                <w:color w:val="auto"/>
              </w:rPr>
            </w:pPr>
            <w:r>
              <w:rPr>
                <w:rFonts w:ascii="Arial" w:cs="Arial" w:eastAsia="Arial" w:hAnsi="Arial"/>
                <w:sz w:val="10"/>
                <w:szCs w:val="10"/>
                <w:color w:val="auto"/>
              </w:rPr>
              <w:t>Interest checking</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7,732,697</w:t>
            </w:r>
          </w:p>
        </w:tc>
        <w:tc>
          <w:tcPr>
            <w:tcW w:w="2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204,070</w:t>
            </w:r>
          </w:p>
        </w:tc>
        <w:tc>
          <w:tcPr>
            <w:tcW w:w="1080" w:type="dxa"/>
            <w:vAlign w:val="bottom"/>
          </w:tcPr>
          <w:p>
            <w:pPr>
              <w:jc w:val="right"/>
              <w:spacing w:after="0"/>
              <w:rPr>
                <w:sz w:val="20"/>
                <w:szCs w:val="20"/>
                <w:color w:val="auto"/>
              </w:rPr>
            </w:pPr>
            <w:r>
              <w:rPr>
                <w:rFonts w:ascii="Arial" w:cs="Arial" w:eastAsia="Arial" w:hAnsi="Arial"/>
                <w:sz w:val="10"/>
                <w:szCs w:val="10"/>
                <w:color w:val="auto"/>
              </w:rPr>
              <w:t>2.64 %</w:t>
            </w:r>
          </w:p>
        </w:tc>
        <w:tc>
          <w:tcPr>
            <w:tcW w:w="80" w:type="dxa"/>
            <w:vAlign w:val="bottom"/>
          </w:tcPr>
          <w:p>
            <w:pPr>
              <w:spacing w:after="0"/>
              <w:rPr>
                <w:sz w:val="11"/>
                <w:szCs w:val="11"/>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7,714,920</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240,913</w:t>
            </w:r>
          </w:p>
        </w:tc>
        <w:tc>
          <w:tcPr>
            <w:tcW w:w="1100" w:type="dxa"/>
            <w:vAlign w:val="bottom"/>
          </w:tcPr>
          <w:p>
            <w:pPr>
              <w:jc w:val="right"/>
              <w:spacing w:after="0"/>
              <w:rPr>
                <w:sz w:val="20"/>
                <w:szCs w:val="20"/>
                <w:color w:val="auto"/>
              </w:rPr>
            </w:pPr>
            <w:r>
              <w:rPr>
                <w:rFonts w:ascii="Arial" w:cs="Arial" w:eastAsia="Arial" w:hAnsi="Arial"/>
                <w:sz w:val="10"/>
                <w:szCs w:val="10"/>
                <w:color w:val="auto"/>
              </w:rPr>
              <w:t>3.12 %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Money market</w:t>
            </w:r>
          </w:p>
        </w:tc>
        <w:tc>
          <w:tcPr>
            <w:tcW w:w="26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5,231,379</w:t>
            </w:r>
          </w:p>
        </w:tc>
        <w:tc>
          <w:tcPr>
            <w:tcW w:w="2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122,889</w:t>
            </w:r>
          </w:p>
        </w:tc>
        <w:tc>
          <w:tcPr>
            <w:tcW w:w="1080" w:type="dxa"/>
            <w:vAlign w:val="bottom"/>
          </w:tcPr>
          <w:p>
            <w:pPr>
              <w:jc w:val="right"/>
              <w:spacing w:after="0"/>
              <w:rPr>
                <w:sz w:val="20"/>
                <w:szCs w:val="20"/>
                <w:color w:val="auto"/>
              </w:rPr>
            </w:pPr>
            <w:r>
              <w:rPr>
                <w:rFonts w:ascii="Arial" w:cs="Arial" w:eastAsia="Arial" w:hAnsi="Arial"/>
                <w:sz w:val="10"/>
                <w:szCs w:val="10"/>
                <w:color w:val="auto"/>
              </w:rPr>
              <w:t>2.35 %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5,164,566</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138,176</w:t>
            </w:r>
          </w:p>
        </w:tc>
        <w:tc>
          <w:tcPr>
            <w:tcW w:w="1100" w:type="dxa"/>
            <w:vAlign w:val="bottom"/>
          </w:tcPr>
          <w:p>
            <w:pPr>
              <w:jc w:val="right"/>
              <w:spacing w:after="0"/>
              <w:rPr>
                <w:sz w:val="20"/>
                <w:szCs w:val="20"/>
                <w:color w:val="auto"/>
              </w:rPr>
            </w:pPr>
            <w:r>
              <w:rPr>
                <w:rFonts w:ascii="Arial" w:cs="Arial" w:eastAsia="Arial" w:hAnsi="Arial"/>
                <w:sz w:val="10"/>
                <w:szCs w:val="10"/>
                <w:color w:val="auto"/>
              </w:rPr>
              <w:t>2.68 %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Savings</w:t>
            </w:r>
          </w:p>
        </w:tc>
        <w:tc>
          <w:tcPr>
            <w:tcW w:w="26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1,954,354</w:t>
            </w:r>
          </w:p>
        </w:tc>
        <w:tc>
          <w:tcPr>
            <w:tcW w:w="2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49,186</w:t>
            </w:r>
          </w:p>
        </w:tc>
        <w:tc>
          <w:tcPr>
            <w:tcW w:w="1080" w:type="dxa"/>
            <w:vAlign w:val="bottom"/>
          </w:tcPr>
          <w:p>
            <w:pPr>
              <w:jc w:val="right"/>
              <w:spacing w:after="0"/>
              <w:rPr>
                <w:sz w:val="20"/>
                <w:szCs w:val="20"/>
                <w:color w:val="auto"/>
              </w:rPr>
            </w:pPr>
            <w:r>
              <w:rPr>
                <w:rFonts w:ascii="Arial" w:cs="Arial" w:eastAsia="Arial" w:hAnsi="Arial"/>
                <w:sz w:val="10"/>
                <w:szCs w:val="10"/>
                <w:color w:val="auto"/>
              </w:rPr>
              <w:t>2.52 %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2,005,513</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66,421</w:t>
            </w:r>
          </w:p>
        </w:tc>
        <w:tc>
          <w:tcPr>
            <w:tcW w:w="1100" w:type="dxa"/>
            <w:vAlign w:val="bottom"/>
          </w:tcPr>
          <w:p>
            <w:pPr>
              <w:jc w:val="right"/>
              <w:spacing w:after="0"/>
              <w:rPr>
                <w:sz w:val="20"/>
                <w:szCs w:val="20"/>
                <w:color w:val="auto"/>
              </w:rPr>
            </w:pPr>
            <w:r>
              <w:rPr>
                <w:rFonts w:ascii="Arial" w:cs="Arial" w:eastAsia="Arial" w:hAnsi="Arial"/>
                <w:sz w:val="10"/>
                <w:szCs w:val="10"/>
                <w:color w:val="auto"/>
              </w:rPr>
              <w:t>3.31 %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Time</w:t>
            </w: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4,568,180</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182,295</w:t>
            </w:r>
          </w:p>
        </w:tc>
        <w:tc>
          <w:tcPr>
            <w:tcW w:w="1080" w:type="dxa"/>
            <w:vAlign w:val="bottom"/>
          </w:tcPr>
          <w:p>
            <w:pPr>
              <w:jc w:val="right"/>
              <w:spacing w:after="0"/>
              <w:rPr>
                <w:sz w:val="20"/>
                <w:szCs w:val="20"/>
                <w:color w:val="auto"/>
              </w:rPr>
            </w:pPr>
            <w:r>
              <w:rPr>
                <w:rFonts w:ascii="Arial" w:cs="Arial" w:eastAsia="Arial" w:hAnsi="Arial"/>
                <w:sz w:val="10"/>
                <w:szCs w:val="10"/>
                <w:color w:val="auto"/>
              </w:rPr>
              <w:t>3.99 %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5,714,821</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270,474</w:t>
            </w:r>
          </w:p>
        </w:tc>
        <w:tc>
          <w:tcPr>
            <w:tcW w:w="1100" w:type="dxa"/>
            <w:vAlign w:val="bottom"/>
          </w:tcPr>
          <w:p>
            <w:pPr>
              <w:jc w:val="right"/>
              <w:spacing w:after="0"/>
              <w:rPr>
                <w:sz w:val="20"/>
                <w:szCs w:val="20"/>
                <w:color w:val="auto"/>
              </w:rPr>
            </w:pPr>
            <w:r>
              <w:rPr>
                <w:rFonts w:ascii="Arial" w:cs="Arial" w:eastAsia="Arial" w:hAnsi="Arial"/>
                <w:sz w:val="10"/>
                <w:szCs w:val="10"/>
                <w:color w:val="auto"/>
              </w:rPr>
              <w:t>4.73 %</w:t>
            </w:r>
          </w:p>
        </w:tc>
        <w:tc>
          <w:tcPr>
            <w:tcW w:w="0" w:type="dxa"/>
            <w:vAlign w:val="bottom"/>
          </w:tcPr>
          <w:p>
            <w:pPr>
              <w:spacing w:after="0"/>
              <w:rPr>
                <w:sz w:val="1"/>
                <w:szCs w:val="1"/>
                <w:color w:val="auto"/>
              </w:rPr>
            </w:pPr>
          </w:p>
        </w:tc>
      </w:tr>
      <w:tr>
        <w:trPr>
          <w:trHeight w:val="115"/>
        </w:trPr>
        <w:tc>
          <w:tcPr>
            <w:tcW w:w="2060" w:type="dxa"/>
            <w:vAlign w:val="bottom"/>
          </w:tcPr>
          <w:p>
            <w:pPr>
              <w:ind w:left="120"/>
              <w:spacing w:after="0"/>
              <w:rPr>
                <w:sz w:val="20"/>
                <w:szCs w:val="20"/>
                <w:color w:val="auto"/>
              </w:rPr>
            </w:pPr>
            <w:r>
              <w:rPr>
                <w:rFonts w:ascii="Arial" w:cs="Arial" w:eastAsia="Arial" w:hAnsi="Arial"/>
                <w:sz w:val="10"/>
                <w:szCs w:val="10"/>
                <w:color w:val="auto"/>
              </w:rPr>
              <w:t>Total interest-bearing</w:t>
            </w: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180"/>
              <w:spacing w:after="0"/>
              <w:rPr>
                <w:sz w:val="20"/>
                <w:szCs w:val="20"/>
                <w:color w:val="auto"/>
              </w:rPr>
            </w:pPr>
            <w:r>
              <w:rPr>
                <w:rFonts w:ascii="Arial" w:cs="Arial" w:eastAsia="Arial" w:hAnsi="Arial"/>
                <w:sz w:val="10"/>
                <w:szCs w:val="10"/>
                <w:color w:val="auto"/>
              </w:rPr>
              <w:t>deposits</w:t>
            </w:r>
          </w:p>
        </w:tc>
        <w:tc>
          <w:tcPr>
            <w:tcW w:w="26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19,486,610</w:t>
            </w:r>
          </w:p>
        </w:tc>
        <w:tc>
          <w:tcPr>
            <w:tcW w:w="2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558,440</w:t>
            </w:r>
          </w:p>
        </w:tc>
        <w:tc>
          <w:tcPr>
            <w:tcW w:w="1080" w:type="dxa"/>
            <w:vAlign w:val="bottom"/>
          </w:tcPr>
          <w:p>
            <w:pPr>
              <w:jc w:val="right"/>
              <w:spacing w:after="0"/>
              <w:rPr>
                <w:sz w:val="20"/>
                <w:szCs w:val="20"/>
                <w:color w:val="auto"/>
              </w:rPr>
            </w:pPr>
            <w:r>
              <w:rPr>
                <w:rFonts w:ascii="Arial" w:cs="Arial" w:eastAsia="Arial" w:hAnsi="Arial"/>
                <w:sz w:val="10"/>
                <w:szCs w:val="10"/>
                <w:color w:val="auto"/>
              </w:rPr>
              <w:t>2.87 %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20,599,820</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715,984</w:t>
            </w:r>
          </w:p>
        </w:tc>
        <w:tc>
          <w:tcPr>
            <w:tcW w:w="1100" w:type="dxa"/>
            <w:vAlign w:val="bottom"/>
          </w:tcPr>
          <w:p>
            <w:pPr>
              <w:jc w:val="right"/>
              <w:spacing w:after="0"/>
              <w:rPr>
                <w:sz w:val="20"/>
                <w:szCs w:val="20"/>
                <w:color w:val="auto"/>
              </w:rPr>
            </w:pPr>
            <w:r>
              <w:rPr>
                <w:rFonts w:ascii="Arial" w:cs="Arial" w:eastAsia="Arial" w:hAnsi="Arial"/>
                <w:sz w:val="10"/>
                <w:szCs w:val="10"/>
                <w:color w:val="auto"/>
              </w:rPr>
              <w:t>3.48 %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Borrowings</w:t>
            </w:r>
          </w:p>
        </w:tc>
        <w:tc>
          <w:tcPr>
            <w:tcW w:w="26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1,599,469</w:t>
            </w:r>
          </w:p>
        </w:tc>
        <w:tc>
          <w:tcPr>
            <w:tcW w:w="20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78,761</w:t>
            </w:r>
          </w:p>
        </w:tc>
        <w:tc>
          <w:tcPr>
            <w:tcW w:w="1080" w:type="dxa"/>
            <w:vAlign w:val="bottom"/>
          </w:tcPr>
          <w:p>
            <w:pPr>
              <w:jc w:val="right"/>
              <w:spacing w:after="0"/>
              <w:rPr>
                <w:sz w:val="20"/>
                <w:szCs w:val="20"/>
                <w:color w:val="auto"/>
              </w:rPr>
            </w:pPr>
            <w:r>
              <w:rPr>
                <w:rFonts w:ascii="Arial" w:cs="Arial" w:eastAsia="Arial" w:hAnsi="Arial"/>
                <w:sz w:val="10"/>
                <w:szCs w:val="10"/>
                <w:color w:val="auto"/>
              </w:rPr>
              <w:t>4.92 %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1,838,819</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104,398</w:t>
            </w:r>
          </w:p>
        </w:tc>
        <w:tc>
          <w:tcPr>
            <w:tcW w:w="1100" w:type="dxa"/>
            <w:vAlign w:val="bottom"/>
          </w:tcPr>
          <w:p>
            <w:pPr>
              <w:jc w:val="right"/>
              <w:spacing w:after="0"/>
              <w:rPr>
                <w:sz w:val="20"/>
                <w:szCs w:val="20"/>
                <w:color w:val="auto"/>
              </w:rPr>
            </w:pPr>
            <w:r>
              <w:rPr>
                <w:rFonts w:ascii="Arial" w:cs="Arial" w:eastAsia="Arial" w:hAnsi="Arial"/>
                <w:sz w:val="10"/>
                <w:szCs w:val="10"/>
                <w:color w:val="auto"/>
              </w:rPr>
              <w:t>5.68 %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Subordinated debt</w:t>
            </w: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947,709</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62,066</w:t>
            </w:r>
          </w:p>
        </w:tc>
        <w:tc>
          <w:tcPr>
            <w:tcW w:w="1080" w:type="dxa"/>
            <w:vAlign w:val="bottom"/>
          </w:tcPr>
          <w:p>
            <w:pPr>
              <w:jc w:val="right"/>
              <w:spacing w:after="0"/>
              <w:rPr>
                <w:sz w:val="20"/>
                <w:szCs w:val="20"/>
                <w:color w:val="auto"/>
              </w:rPr>
            </w:pPr>
            <w:r>
              <w:rPr>
                <w:rFonts w:ascii="Arial" w:cs="Arial" w:eastAsia="Arial" w:hAnsi="Arial"/>
                <w:sz w:val="10"/>
                <w:szCs w:val="10"/>
                <w:color w:val="auto"/>
              </w:rPr>
              <w:t>6.55 %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939,528</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66,273</w:t>
            </w:r>
          </w:p>
        </w:tc>
        <w:tc>
          <w:tcPr>
            <w:tcW w:w="1100" w:type="dxa"/>
            <w:vAlign w:val="bottom"/>
          </w:tcPr>
          <w:p>
            <w:pPr>
              <w:jc w:val="right"/>
              <w:spacing w:after="0"/>
              <w:rPr>
                <w:sz w:val="20"/>
                <w:szCs w:val="20"/>
                <w:color w:val="auto"/>
              </w:rPr>
            </w:pPr>
            <w:r>
              <w:rPr>
                <w:rFonts w:ascii="Arial" w:cs="Arial" w:eastAsia="Arial" w:hAnsi="Arial"/>
                <w:sz w:val="10"/>
                <w:szCs w:val="10"/>
                <w:color w:val="auto"/>
              </w:rPr>
              <w:t>7.05 %</w:t>
            </w:r>
          </w:p>
        </w:tc>
        <w:tc>
          <w:tcPr>
            <w:tcW w:w="0" w:type="dxa"/>
            <w:vAlign w:val="bottom"/>
          </w:tcPr>
          <w:p>
            <w:pPr>
              <w:spacing w:after="0"/>
              <w:rPr>
                <w:sz w:val="1"/>
                <w:szCs w:val="1"/>
                <w:color w:val="auto"/>
              </w:rPr>
            </w:pPr>
          </w:p>
        </w:tc>
      </w:tr>
      <w:tr>
        <w:trPr>
          <w:trHeight w:val="115"/>
        </w:trPr>
        <w:tc>
          <w:tcPr>
            <w:tcW w:w="2060" w:type="dxa"/>
            <w:vAlign w:val="bottom"/>
          </w:tcPr>
          <w:p>
            <w:pPr>
              <w:ind w:left="120"/>
              <w:spacing w:after="0"/>
              <w:rPr>
                <w:sz w:val="20"/>
                <w:szCs w:val="20"/>
                <w:color w:val="auto"/>
              </w:rPr>
            </w:pPr>
            <w:r>
              <w:rPr>
                <w:rFonts w:ascii="Arial" w:cs="Arial" w:eastAsia="Arial" w:hAnsi="Arial"/>
                <w:sz w:val="10"/>
                <w:szCs w:val="10"/>
                <w:color w:val="auto"/>
              </w:rPr>
              <w:t>Total interest-bearing</w:t>
            </w: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180"/>
              <w:spacing w:after="0"/>
              <w:rPr>
                <w:sz w:val="20"/>
                <w:szCs w:val="20"/>
                <w:color w:val="auto"/>
              </w:rPr>
            </w:pPr>
            <w:r>
              <w:rPr>
                <w:rFonts w:ascii="Arial" w:cs="Arial" w:eastAsia="Arial" w:hAnsi="Arial"/>
                <w:sz w:val="10"/>
                <w:szCs w:val="10"/>
                <w:color w:val="auto"/>
              </w:rPr>
              <w:t>liabilities</w:t>
            </w:r>
          </w:p>
        </w:tc>
        <w:tc>
          <w:tcPr>
            <w:tcW w:w="26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22,033,788</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699,267</w:t>
            </w:r>
          </w:p>
        </w:tc>
        <w:tc>
          <w:tcPr>
            <w:tcW w:w="1080" w:type="dxa"/>
            <w:vAlign w:val="bottom"/>
          </w:tcPr>
          <w:p>
            <w:pPr>
              <w:jc w:val="right"/>
              <w:spacing w:after="0"/>
              <w:rPr>
                <w:sz w:val="20"/>
                <w:szCs w:val="20"/>
                <w:color w:val="auto"/>
              </w:rPr>
            </w:pPr>
            <w:r>
              <w:rPr>
                <w:rFonts w:ascii="Arial" w:cs="Arial" w:eastAsia="Arial" w:hAnsi="Arial"/>
                <w:sz w:val="10"/>
                <w:szCs w:val="10"/>
                <w:color w:val="auto"/>
              </w:rPr>
              <w:t>3.17 %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23,378,167</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886,655</w:t>
            </w:r>
          </w:p>
        </w:tc>
        <w:tc>
          <w:tcPr>
            <w:tcW w:w="1100" w:type="dxa"/>
            <w:vAlign w:val="bottom"/>
          </w:tcPr>
          <w:p>
            <w:pPr>
              <w:jc w:val="right"/>
              <w:spacing w:after="0"/>
              <w:rPr>
                <w:sz w:val="20"/>
                <w:szCs w:val="20"/>
                <w:color w:val="auto"/>
              </w:rPr>
            </w:pPr>
            <w:r>
              <w:rPr>
                <w:rFonts w:ascii="Arial" w:cs="Arial" w:eastAsia="Arial" w:hAnsi="Arial"/>
                <w:sz w:val="10"/>
                <w:szCs w:val="10"/>
                <w:color w:val="auto"/>
              </w:rPr>
              <w:t>3.79 %</w:t>
            </w:r>
          </w:p>
        </w:tc>
        <w:tc>
          <w:tcPr>
            <w:tcW w:w="0" w:type="dxa"/>
            <w:vAlign w:val="bottom"/>
          </w:tcPr>
          <w:p>
            <w:pPr>
              <w:spacing w:after="0"/>
              <w:rPr>
                <w:sz w:val="1"/>
                <w:szCs w:val="1"/>
                <w:color w:val="auto"/>
              </w:rPr>
            </w:pPr>
          </w:p>
        </w:tc>
      </w:tr>
      <w:tr>
        <w:trPr>
          <w:trHeight w:val="115"/>
        </w:trPr>
        <w:tc>
          <w:tcPr>
            <w:tcW w:w="2060" w:type="dxa"/>
            <w:vAlign w:val="bottom"/>
          </w:tcPr>
          <w:p>
            <w:pPr>
              <w:spacing w:after="0"/>
              <w:rPr>
                <w:sz w:val="20"/>
                <w:szCs w:val="20"/>
                <w:color w:val="auto"/>
              </w:rPr>
            </w:pPr>
            <w:r>
              <w:rPr>
                <w:rFonts w:ascii="Arial" w:cs="Arial" w:eastAsia="Arial" w:hAnsi="Arial"/>
                <w:sz w:val="10"/>
                <w:szCs w:val="10"/>
                <w:color w:val="auto"/>
              </w:rPr>
              <w:t>Noninterest-bearing</w:t>
            </w: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80"/>
              <w:spacing w:after="0"/>
              <w:rPr>
                <w:sz w:val="20"/>
                <w:szCs w:val="20"/>
                <w:color w:val="auto"/>
              </w:rPr>
            </w:pPr>
            <w:r>
              <w:rPr>
                <w:rFonts w:ascii="Arial" w:cs="Arial" w:eastAsia="Arial" w:hAnsi="Arial"/>
                <w:sz w:val="10"/>
                <w:szCs w:val="10"/>
                <w:color w:val="auto"/>
              </w:rPr>
              <w:t>demand deposits</w:t>
            </w:r>
          </w:p>
        </w:tc>
        <w:tc>
          <w:tcPr>
            <w:tcW w:w="26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7,698,015</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7,829,976</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Other liabilities</w:t>
            </w: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462,657</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693,981</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60" w:type="dxa"/>
            <w:vAlign w:val="bottom"/>
          </w:tcPr>
          <w:p>
            <w:pPr>
              <w:ind w:left="120"/>
              <w:spacing w:after="0"/>
              <w:rPr>
                <w:sz w:val="20"/>
                <w:szCs w:val="20"/>
                <w:color w:val="auto"/>
              </w:rPr>
            </w:pPr>
            <w:r>
              <w:rPr>
                <w:rFonts w:ascii="Arial" w:cs="Arial" w:eastAsia="Arial" w:hAnsi="Arial"/>
                <w:sz w:val="10"/>
                <w:szCs w:val="10"/>
                <w:color w:val="auto"/>
              </w:rPr>
              <w:t>Total liabilities</w:t>
            </w:r>
          </w:p>
        </w:tc>
        <w:tc>
          <w:tcPr>
            <w:tcW w:w="26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30,194,460</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31,902,124</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Stockholders' equity</w:t>
            </w: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3,471,278</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3,431,364</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60" w:type="dxa"/>
            <w:vAlign w:val="bottom"/>
          </w:tcPr>
          <w:p>
            <w:pPr>
              <w:ind w:left="120"/>
              <w:spacing w:after="0"/>
              <w:rPr>
                <w:sz w:val="20"/>
                <w:szCs w:val="20"/>
                <w:color w:val="auto"/>
              </w:rPr>
            </w:pPr>
            <w:r>
              <w:rPr>
                <w:rFonts w:ascii="Arial" w:cs="Arial" w:eastAsia="Arial" w:hAnsi="Arial"/>
                <w:sz w:val="10"/>
                <w:szCs w:val="10"/>
                <w:color w:val="auto"/>
              </w:rPr>
              <w:t>Total liabilities and</w:t>
            </w:r>
          </w:p>
        </w:tc>
        <w:tc>
          <w:tcPr>
            <w:tcW w:w="260" w:type="dxa"/>
            <w:vAlign w:val="bottom"/>
            <w:vMerge w:val="restart"/>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vMerge w:val="restart"/>
          </w:tcPr>
          <w:p>
            <w:pPr>
              <w:jc w:val="right"/>
              <w:ind w:right="12"/>
              <w:spacing w:after="0"/>
              <w:rPr>
                <w:sz w:val="20"/>
                <w:szCs w:val="20"/>
                <w:color w:val="auto"/>
              </w:rPr>
            </w:pPr>
            <w:r>
              <w:rPr>
                <w:rFonts w:ascii="Arial" w:cs="Arial" w:eastAsia="Arial" w:hAnsi="Arial"/>
                <w:sz w:val="10"/>
                <w:szCs w:val="10"/>
                <w:color w:val="auto"/>
              </w:rPr>
              <w:t>33,665,738</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restart"/>
          </w:tcPr>
          <w:p>
            <w:pPr>
              <w:jc w:val="right"/>
              <w:ind w:right="232"/>
              <w:spacing w:after="0"/>
              <w:rPr>
                <w:sz w:val="20"/>
                <w:szCs w:val="20"/>
                <w:color w:val="auto"/>
              </w:rPr>
            </w:pPr>
            <w:r>
              <w:rPr>
                <w:rFonts w:ascii="Arial" w:cs="Arial" w:eastAsia="Arial" w:hAnsi="Arial"/>
                <w:sz w:val="10"/>
                <w:szCs w:val="10"/>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35,333,488</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60" w:type="dxa"/>
            <w:vAlign w:val="bottom"/>
          </w:tcPr>
          <w:p>
            <w:pPr>
              <w:ind w:left="180"/>
              <w:spacing w:after="0"/>
              <w:rPr>
                <w:sz w:val="20"/>
                <w:szCs w:val="20"/>
                <w:color w:val="auto"/>
              </w:rPr>
            </w:pPr>
            <w:r>
              <w:rPr>
                <w:rFonts w:ascii="Arial" w:cs="Arial" w:eastAsia="Arial" w:hAnsi="Arial"/>
                <w:sz w:val="10"/>
                <w:szCs w:val="10"/>
                <w:color w:val="auto"/>
              </w:rPr>
              <w:t>stockholders' equity</w:t>
            </w:r>
          </w:p>
        </w:tc>
        <w:tc>
          <w:tcPr>
            <w:tcW w:w="26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0"/>
                <w:szCs w:val="10"/>
                <w:color w:val="auto"/>
              </w:rPr>
              <w:t>Net interest income (1)</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0"/>
                <w:szCs w:val="10"/>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color w:val="auto"/>
              </w:rPr>
              <w:t>977,386</w:t>
            </w: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926,050</w:t>
            </w: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0"/>
                <w:szCs w:val="10"/>
                <w:color w:val="auto"/>
              </w:rPr>
              <w:t>Net interest spread</w:t>
            </w: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0"/>
                <w:szCs w:val="10"/>
                <w:color w:val="auto"/>
              </w:rPr>
              <w:t>2.23 %</w:t>
            </w:r>
          </w:p>
        </w:tc>
        <w:tc>
          <w:tcPr>
            <w:tcW w:w="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0"/>
                <w:szCs w:val="10"/>
                <w:color w:val="auto"/>
              </w:rPr>
              <w:t>1.79 %</w:t>
            </w:r>
          </w:p>
        </w:tc>
        <w:tc>
          <w:tcPr>
            <w:tcW w:w="0" w:type="dxa"/>
            <w:vAlign w:val="bottom"/>
          </w:tcPr>
          <w:p>
            <w:pPr>
              <w:spacing w:after="0" w:line="20" w:lineRule="exact"/>
              <w:rPr>
                <w:sz w:val="1"/>
                <w:szCs w:val="1"/>
                <w:color w:val="auto"/>
              </w:rPr>
            </w:pPr>
          </w:p>
        </w:tc>
      </w:tr>
      <w:tr>
        <w:trPr>
          <w:trHeight w:val="87"/>
        </w:trPr>
        <w:tc>
          <w:tcPr>
            <w:tcW w:w="20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Net interest margin</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3.15 %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2.85 %</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0"/>
                <w:szCs w:val="20"/>
                <w:color w:val="auto"/>
              </w:rPr>
            </w:pPr>
            <w:r>
              <w:rPr>
                <w:rFonts w:ascii="Arial" w:cs="Arial" w:eastAsia="Arial" w:hAnsi="Arial"/>
                <w:sz w:val="10"/>
                <w:szCs w:val="10"/>
                <w:color w:val="auto"/>
              </w:rPr>
              <w:t>Total deposits (2)</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27,184,625</w:t>
            </w:r>
          </w:p>
        </w:tc>
        <w:tc>
          <w:tcPr>
            <w:tcW w:w="200" w:type="dxa"/>
            <w:vAlign w:val="bottom"/>
          </w:tcPr>
          <w:p>
            <w:pPr>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558,440</w:t>
            </w:r>
          </w:p>
        </w:tc>
        <w:tc>
          <w:tcPr>
            <w:tcW w:w="1080" w:type="dxa"/>
            <w:vAlign w:val="bottom"/>
          </w:tcPr>
          <w:p>
            <w:pPr>
              <w:jc w:val="right"/>
              <w:spacing w:after="0"/>
              <w:rPr>
                <w:sz w:val="20"/>
                <w:szCs w:val="20"/>
                <w:color w:val="auto"/>
              </w:rPr>
            </w:pPr>
            <w:r>
              <w:rPr>
                <w:rFonts w:ascii="Arial" w:cs="Arial" w:eastAsia="Arial" w:hAnsi="Arial"/>
                <w:sz w:val="10"/>
                <w:szCs w:val="10"/>
                <w:color w:val="auto"/>
              </w:rPr>
              <w:t>2.05 %</w:t>
            </w:r>
          </w:p>
        </w:tc>
        <w:tc>
          <w:tcPr>
            <w:tcW w:w="80" w:type="dxa"/>
            <w:vAlign w:val="bottom"/>
          </w:tcPr>
          <w:p>
            <w:pPr>
              <w:spacing w:after="0"/>
              <w:rPr>
                <w:sz w:val="23"/>
                <w:szCs w:val="2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28,429,796</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715,984</w:t>
            </w:r>
          </w:p>
        </w:tc>
        <w:tc>
          <w:tcPr>
            <w:tcW w:w="1100" w:type="dxa"/>
            <w:vAlign w:val="bottom"/>
          </w:tcPr>
          <w:p>
            <w:pPr>
              <w:jc w:val="right"/>
              <w:spacing w:after="0"/>
              <w:rPr>
                <w:sz w:val="20"/>
                <w:szCs w:val="20"/>
                <w:color w:val="auto"/>
              </w:rPr>
            </w:pPr>
            <w:r>
              <w:rPr>
                <w:rFonts w:ascii="Arial" w:cs="Arial" w:eastAsia="Arial" w:hAnsi="Arial"/>
                <w:sz w:val="10"/>
                <w:szCs w:val="10"/>
                <w:color w:val="auto"/>
              </w:rPr>
              <w:t>2.52 %</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20"/>
                <w:szCs w:val="20"/>
                <w:color w:val="auto"/>
              </w:rPr>
            </w:pPr>
            <w:r>
              <w:rPr>
                <w:rFonts w:ascii="Arial" w:cs="Arial" w:eastAsia="Arial" w:hAnsi="Arial"/>
                <w:sz w:val="10"/>
                <w:szCs w:val="10"/>
                <w:color w:val="auto"/>
              </w:rPr>
              <w:t>Total funds (3)</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29,731,803</w:t>
            </w:r>
          </w:p>
        </w:tc>
        <w:tc>
          <w:tcPr>
            <w:tcW w:w="200" w:type="dxa"/>
            <w:vAlign w:val="bottom"/>
          </w:tcPr>
          <w:p>
            <w:pPr>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699,267</w:t>
            </w:r>
          </w:p>
        </w:tc>
        <w:tc>
          <w:tcPr>
            <w:tcW w:w="1080" w:type="dxa"/>
            <w:vAlign w:val="bottom"/>
          </w:tcPr>
          <w:p>
            <w:pPr>
              <w:jc w:val="right"/>
              <w:spacing w:after="0"/>
              <w:rPr>
                <w:sz w:val="20"/>
                <w:szCs w:val="20"/>
                <w:color w:val="auto"/>
              </w:rPr>
            </w:pPr>
            <w:r>
              <w:rPr>
                <w:rFonts w:ascii="Arial" w:cs="Arial" w:eastAsia="Arial" w:hAnsi="Arial"/>
                <w:sz w:val="10"/>
                <w:szCs w:val="10"/>
                <w:color w:val="auto"/>
              </w:rPr>
              <w:t>2.35 %</w:t>
            </w:r>
          </w:p>
        </w:tc>
        <w:tc>
          <w:tcPr>
            <w:tcW w:w="80" w:type="dxa"/>
            <w:vAlign w:val="bottom"/>
          </w:tcPr>
          <w:p>
            <w:pPr>
              <w:spacing w:after="0"/>
              <w:rPr>
                <w:sz w:val="11"/>
                <w:szCs w:val="11"/>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31,208,143</w:t>
            </w: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886,655</w:t>
            </w:r>
          </w:p>
        </w:tc>
        <w:tc>
          <w:tcPr>
            <w:tcW w:w="1100" w:type="dxa"/>
            <w:vAlign w:val="bottom"/>
          </w:tcPr>
          <w:p>
            <w:pPr>
              <w:jc w:val="right"/>
              <w:spacing w:after="0"/>
              <w:rPr>
                <w:sz w:val="20"/>
                <w:szCs w:val="20"/>
                <w:color w:val="auto"/>
              </w:rPr>
            </w:pPr>
            <w:r>
              <w:rPr>
                <w:rFonts w:ascii="Arial" w:cs="Arial" w:eastAsia="Arial" w:hAnsi="Arial"/>
                <w:sz w:val="10"/>
                <w:szCs w:val="10"/>
                <w:color w:val="auto"/>
              </w:rPr>
              <w:t>2.84 %</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color w:val="6D6D6D"/>
        </w:rPr>
        <w:t>______________</w:t>
      </w:r>
    </w:p>
    <w:p>
      <w:pPr>
        <w:spacing w:after="0" w:line="15" w:lineRule="exact"/>
        <w:rPr>
          <w:sz w:val="20"/>
          <w:szCs w:val="20"/>
          <w:color w:val="auto"/>
        </w:rPr>
      </w:pPr>
    </w:p>
    <w:p>
      <w:pPr>
        <w:ind w:left="148" w:hanging="148"/>
        <w:spacing w:after="0"/>
        <w:tabs>
          <w:tab w:leader="none" w:pos="148" w:val="left"/>
        </w:tabs>
        <w:numPr>
          <w:ilvl w:val="0"/>
          <w:numId w:val="14"/>
        </w:numPr>
        <w:rPr>
          <w:rFonts w:ascii="Arial" w:cs="Arial" w:eastAsia="Arial" w:hAnsi="Arial"/>
          <w:sz w:val="10"/>
          <w:szCs w:val="10"/>
          <w:color w:val="6D6D6D"/>
        </w:rPr>
      </w:pPr>
      <w:r>
        <w:rPr>
          <w:rFonts w:ascii="Arial" w:cs="Arial" w:eastAsia="Arial" w:hAnsi="Arial"/>
          <w:sz w:val="10"/>
          <w:szCs w:val="10"/>
          <w:color w:val="6D6D6D"/>
        </w:rPr>
        <w:t xml:space="preserve">Includes net loan discount accretion of $64.2 million </w:t>
      </w:r>
      <w:r>
        <w:rPr>
          <w:rFonts w:ascii="Arial" w:cs="Arial" w:eastAsia="Arial" w:hAnsi="Arial"/>
          <w:sz w:val="10"/>
          <w:szCs w:val="10"/>
          <w:color w:val="929292"/>
        </w:rPr>
        <w:t>and</w:t>
      </w:r>
      <w:r>
        <w:rPr>
          <w:rFonts w:ascii="Arial" w:cs="Arial" w:eastAsia="Arial" w:hAnsi="Arial"/>
          <w:sz w:val="10"/>
          <w:szCs w:val="10"/>
          <w:color w:val="6D6D6D"/>
        </w:rPr>
        <w:t xml:space="preserve"> $88.0 million for the year ended December 31, 2025 and 2024.</w:t>
      </w:r>
    </w:p>
    <w:p>
      <w:pPr>
        <w:ind w:left="148" w:hanging="148"/>
        <w:spacing w:after="0"/>
        <w:tabs>
          <w:tab w:leader="none" w:pos="148" w:val="left"/>
        </w:tabs>
        <w:numPr>
          <w:ilvl w:val="0"/>
          <w:numId w:val="14"/>
        </w:numPr>
        <w:rPr>
          <w:rFonts w:ascii="Arial" w:cs="Arial" w:eastAsia="Arial" w:hAnsi="Arial"/>
          <w:sz w:val="8"/>
          <w:szCs w:val="8"/>
          <w:color w:val="6D6D6D"/>
        </w:rPr>
      </w:pPr>
      <w:r>
        <w:rPr>
          <w:rFonts w:ascii="Arial" w:cs="Arial" w:eastAsia="Arial" w:hAnsi="Arial"/>
          <w:sz w:val="8"/>
          <w:szCs w:val="8"/>
          <w:color w:val="6D6D6D"/>
        </w:rPr>
        <w:t>Total deposits is the sum of total interest-bearing deposits and noninterest-bearing demand deposits. The cost of total deposits is calculated as annualized interest expense on total deposits divided by average total deposits.</w:t>
      </w:r>
    </w:p>
    <w:p>
      <w:pPr>
        <w:spacing w:after="0" w:line="24" w:lineRule="exact"/>
        <w:rPr>
          <w:rFonts w:ascii="Arial" w:cs="Arial" w:eastAsia="Arial" w:hAnsi="Arial"/>
          <w:sz w:val="8"/>
          <w:szCs w:val="8"/>
          <w:color w:val="6D6D6D"/>
        </w:rPr>
      </w:pPr>
    </w:p>
    <w:p>
      <w:pPr>
        <w:ind w:left="148" w:hanging="148"/>
        <w:spacing w:after="0"/>
        <w:tabs>
          <w:tab w:leader="none" w:pos="148" w:val="left"/>
        </w:tabs>
        <w:numPr>
          <w:ilvl w:val="0"/>
          <w:numId w:val="14"/>
        </w:numPr>
        <w:rPr>
          <w:rFonts w:ascii="Arial" w:cs="Arial" w:eastAsia="Arial" w:hAnsi="Arial"/>
          <w:sz w:val="10"/>
          <w:szCs w:val="10"/>
          <w:color w:val="6D6D6D"/>
        </w:rPr>
      </w:pPr>
      <w:r>
        <w:rPr>
          <w:rFonts w:ascii="Arial" w:cs="Arial" w:eastAsia="Arial" w:hAnsi="Arial"/>
          <w:sz w:val="10"/>
          <w:szCs w:val="10"/>
          <w:color w:val="6D6D6D"/>
        </w:rPr>
        <w:t>Total funds is the sum of total interest-bearing liabilities and noninterest-bearing demand deposits. The cost of total funds is calculated as annualized total interest expense divided by average total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359410</wp:posOffset>
            </wp:positionV>
            <wp:extent cx="548640"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23</w:t>
      </w:r>
    </w:p>
    <w:p>
      <w:pPr>
        <w:sectPr>
          <w:pgSz w:w="11900" w:h="16838" w:orient="portrait"/>
          <w:cols w:equalWidth="0" w:num="1">
            <w:col w:w="10167"/>
          </w:cols>
          <w:pgMar w:left="292" w:top="907" w:right="1440"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MEASURES</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We refer to certain financial measures that are not recognized under U.S. generally accepted accounting principles (“GAAP”) in this press release, including: tangible common equity, tangible book value per common share, return on average tangible common equity, adjusted return on average tangible common equity, adjusted net earnings, adjusted return on average assets ("Adjusted ROAA"), pre-tax pre-provision income, efficiency ratio, and economic coverage ratio. These non-GAAP measures are used by management in its analysis of the Company's performance.</w:t>
      </w:r>
    </w:p>
    <w:p>
      <w:pPr>
        <w:spacing w:after="0" w:line="60"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Tangible common equity is calculated by subtracting preferred stock, as applicable, from total common equity. Return on average tangible common equity is calculated by dividing net earnings available to common stockholders, after adjustment for amortization of intangible assets and any goodwill impairment, by average tangible common equity. Adjusted return on average tangible common equity is calculated by dividing adjusted net earnings available to common stockholders, after adjustment for amortization of intangible assets, any goodwill impairment, and any unusual items, by average tangible common equity. Banking regulators also exclude goodwill and other intangible assets from stockholders' equity when assessing the capital adequacy of a financial institution.</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Adjusted net earnings is calculated by adjusting net earnings by unusual, one-time items.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Adjusted ROAA is calculated by dividing annualized adjusted net earnings, after adjustment for any unusual items, by average assets.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Pre-tax pre-provision income is calculated by subtracting noninterest expense from total revenue, which is the sum of net interest income and noninterest income.</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Efficiency ratio is calculated by dividing noninterest expense (less intangible asset amortization and acquisition, integration and reorganization costs) by total revenue (the sum of net interest income and noninterest income).</w:t>
      </w:r>
    </w:p>
    <w:p>
      <w:pPr>
        <w:spacing w:after="0" w:line="58"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Economic coverage ratio is calculated by dividing the allowance for credit losses adjusted for the impact of the credit-linked notes and unearned credit mark from purchase accounting by loans and leases held for investment.</w:t>
      </w:r>
    </w:p>
    <w:p>
      <w:pPr>
        <w:spacing w:after="0" w:line="49"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Management believes the presentation of these financial measures adjusting the impact of these items provides useful supplemental information that is essential to a proper understanding of the financial results and operating performance of the Company. This disclosure should not be viewed as a substitute for results determined in accordance with GAAP, nor is it necessarily comparable to non-GAAP performance measures that may be presented by other companies.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provide reconciliations of the non-GAAP measures to financial measures defined by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548640"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160"/>
        <w:spacing w:after="0"/>
        <w:rPr>
          <w:sz w:val="20"/>
          <w:szCs w:val="20"/>
          <w:color w:val="auto"/>
        </w:rPr>
      </w:pPr>
      <w:r>
        <w:rPr>
          <w:rFonts w:ascii="Arial" w:cs="Arial" w:eastAsia="Arial" w:hAnsi="Arial"/>
          <w:sz w:val="10"/>
          <w:szCs w:val="10"/>
          <w:color w:val="001B2C"/>
        </w:rPr>
        <w:t>24</w:t>
      </w:r>
    </w:p>
    <w:p>
      <w:pPr>
        <w:sectPr>
          <w:pgSz w:w="11900" w:h="16838" w:orient="portrait"/>
          <w:cols w:equalWidth="0" w:num="1">
            <w:col w:w="11280"/>
          </w:cols>
          <w:pgMar w:left="300" w:top="883" w:right="319" w:bottom="1440" w:gutter="0" w:footer="0" w:header="0"/>
        </w:sectPr>
      </w:pPr>
    </w:p>
    <w:bookmarkStart w:id="28" w:name="page29"/>
    <w:bookmarkEnd w:id="28"/>
    <w:p>
      <w:pPr>
        <w:ind w:left="8"/>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NON-GAAP MEASURES</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(UNAUDITED)</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4040" w:type="dxa"/>
            <w:vAlign w:val="bottom"/>
            <w:gridSpan w:val="2"/>
          </w:tcPr>
          <w:p>
            <w:pPr>
              <w:spacing w:after="0"/>
              <w:rPr>
                <w:sz w:val="20"/>
                <w:szCs w:val="20"/>
                <w:color w:val="auto"/>
              </w:rPr>
            </w:pPr>
            <w:r>
              <w:rPr>
                <w:rFonts w:ascii="Arial" w:cs="Arial" w:eastAsia="Arial" w:hAnsi="Arial"/>
                <w:sz w:val="10"/>
                <w:szCs w:val="10"/>
                <w:b w:val="1"/>
                <w:bCs w:val="1"/>
                <w:color w:val="auto"/>
              </w:rPr>
              <w:t>Tangible Common Equity</w:t>
            </w:r>
          </w:p>
        </w:tc>
        <w:tc>
          <w:tcPr>
            <w:tcW w:w="220" w:type="dxa"/>
            <w:vAlign w:val="bottom"/>
          </w:tcPr>
          <w:p>
            <w:pPr>
              <w:spacing w:after="0"/>
              <w:rPr>
                <w:sz w:val="11"/>
                <w:szCs w:val="11"/>
                <w:color w:val="auto"/>
              </w:rPr>
            </w:pPr>
          </w:p>
        </w:tc>
        <w:tc>
          <w:tcPr>
            <w:tcW w:w="1240" w:type="dxa"/>
            <w:vAlign w:val="bottom"/>
            <w:gridSpan w:val="2"/>
          </w:tcPr>
          <w:p>
            <w:pPr>
              <w:ind w:left="160"/>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11"/>
                <w:szCs w:val="11"/>
                <w:color w:val="auto"/>
              </w:rPr>
            </w:pPr>
          </w:p>
        </w:tc>
        <w:tc>
          <w:tcPr>
            <w:tcW w:w="1240" w:type="dxa"/>
            <w:vAlign w:val="bottom"/>
            <w:gridSpan w:val="2"/>
          </w:tcPr>
          <w:p>
            <w:pPr>
              <w:ind w:left="140"/>
              <w:spacing w:after="0"/>
              <w:rPr>
                <w:sz w:val="20"/>
                <w:szCs w:val="20"/>
                <w:color w:val="auto"/>
              </w:rPr>
            </w:pPr>
            <w:r>
              <w:rPr>
                <w:rFonts w:ascii="Arial" w:cs="Arial" w:eastAsia="Arial" w:hAnsi="Arial"/>
                <w:sz w:val="10"/>
                <w:szCs w:val="10"/>
                <w:b w:val="1"/>
                <w:bCs w:val="1"/>
                <w:color w:val="auto"/>
              </w:rPr>
              <w:t>September 30,</w:t>
            </w:r>
          </w:p>
        </w:tc>
        <w:tc>
          <w:tcPr>
            <w:tcW w:w="300" w:type="dxa"/>
            <w:vAlign w:val="bottom"/>
          </w:tcPr>
          <w:p>
            <w:pPr>
              <w:spacing w:after="0"/>
              <w:rPr>
                <w:sz w:val="11"/>
                <w:szCs w:val="1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4"/>
              </w:rPr>
              <w:t>June 30,</w:t>
            </w:r>
          </w:p>
        </w:tc>
        <w:tc>
          <w:tcPr>
            <w:tcW w:w="420" w:type="dxa"/>
            <w:vAlign w:val="bottom"/>
          </w:tcPr>
          <w:p>
            <w:pPr>
              <w:spacing w:after="0"/>
              <w:rPr>
                <w:sz w:val="11"/>
                <w:szCs w:val="11"/>
                <w:color w:val="auto"/>
              </w:rPr>
            </w:pPr>
          </w:p>
        </w:tc>
        <w:tc>
          <w:tcPr>
            <w:tcW w:w="1040" w:type="dxa"/>
            <w:vAlign w:val="bottom"/>
            <w:gridSpan w:val="2"/>
          </w:tcPr>
          <w:p>
            <w:pPr>
              <w:ind w:left="60"/>
              <w:spacing w:after="0"/>
              <w:rPr>
                <w:sz w:val="20"/>
                <w:szCs w:val="20"/>
                <w:color w:val="auto"/>
              </w:rPr>
            </w:pPr>
            <w:r>
              <w:rPr>
                <w:rFonts w:ascii="Arial" w:cs="Arial" w:eastAsia="Arial" w:hAnsi="Arial"/>
                <w:sz w:val="10"/>
                <w:szCs w:val="10"/>
                <w:b w:val="1"/>
                <w:bCs w:val="1"/>
                <w:color w:val="auto"/>
              </w:rPr>
              <w:t>March 31,</w:t>
            </w:r>
          </w:p>
        </w:tc>
        <w:tc>
          <w:tcPr>
            <w:tcW w:w="220" w:type="dxa"/>
            <w:vAlign w:val="bottom"/>
          </w:tcPr>
          <w:p>
            <w:pPr>
              <w:spacing w:after="0"/>
              <w:rPr>
                <w:sz w:val="11"/>
                <w:szCs w:val="11"/>
                <w:color w:val="auto"/>
              </w:rPr>
            </w:pPr>
          </w:p>
        </w:tc>
        <w:tc>
          <w:tcPr>
            <w:tcW w:w="1180" w:type="dxa"/>
            <w:vAlign w:val="bottom"/>
          </w:tcPr>
          <w:p>
            <w:pPr>
              <w:jc w:val="right"/>
              <w:ind w:right="332"/>
              <w:spacing w:after="0"/>
              <w:rPr>
                <w:sz w:val="20"/>
                <w:szCs w:val="20"/>
                <w:color w:val="auto"/>
              </w:rPr>
            </w:pPr>
            <w:r>
              <w:rPr>
                <w:rFonts w:ascii="Arial" w:cs="Arial" w:eastAsia="Arial" w:hAnsi="Arial"/>
                <w:sz w:val="10"/>
                <w:szCs w:val="10"/>
                <w:b w:val="1"/>
                <w:bCs w:val="1"/>
                <w:color w:val="auto"/>
              </w:rPr>
              <w:t>December 31,</w:t>
            </w:r>
          </w:p>
        </w:tc>
      </w:tr>
      <w:tr>
        <w:trPr>
          <w:trHeight w:val="110"/>
        </w:trPr>
        <w:tc>
          <w:tcPr>
            <w:tcW w:w="404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and Tangible Book Value Per Share</w:t>
            </w:r>
          </w:p>
        </w:tc>
        <w:tc>
          <w:tcPr>
            <w:tcW w:w="220" w:type="dxa"/>
            <w:vAlign w:val="bottom"/>
          </w:tcPr>
          <w:p>
            <w:pPr>
              <w:spacing w:after="0"/>
              <w:rPr>
                <w:sz w:val="9"/>
                <w:szCs w:val="9"/>
                <w:color w:val="auto"/>
              </w:rPr>
            </w:pPr>
          </w:p>
        </w:tc>
        <w:tc>
          <w:tcPr>
            <w:tcW w:w="1160" w:type="dxa"/>
            <w:vAlign w:val="bottom"/>
          </w:tcPr>
          <w:p>
            <w:pPr>
              <w:jc w:val="right"/>
              <w:ind w:right="532"/>
              <w:spacing w:after="0" w:line="110"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jc w:val="right"/>
              <w:ind w:right="552"/>
              <w:spacing w:after="0" w:line="110" w:lineRule="exact"/>
              <w:rPr>
                <w:sz w:val="20"/>
                <w:szCs w:val="20"/>
                <w:color w:val="auto"/>
              </w:rPr>
            </w:pPr>
            <w:r>
              <w:rPr>
                <w:rFonts w:ascii="Arial" w:cs="Arial" w:eastAsia="Arial" w:hAnsi="Arial"/>
                <w:sz w:val="10"/>
                <w:szCs w:val="10"/>
                <w:b w:val="1"/>
                <w:bCs w:val="1"/>
                <w:color w:val="auto"/>
              </w:rPr>
              <w:t>2025</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center"/>
              <w:ind w:right="232"/>
              <w:spacing w:after="0" w:line="110" w:lineRule="exact"/>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jc w:val="right"/>
              <w:ind w:right="532"/>
              <w:spacing w:after="0" w:line="110"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jc w:val="right"/>
              <w:ind w:right="552"/>
              <w:spacing w:after="0" w:line="110" w:lineRule="exact"/>
              <w:rPr>
                <w:sz w:val="20"/>
                <w:szCs w:val="20"/>
                <w:color w:val="auto"/>
              </w:rPr>
            </w:pPr>
            <w:r>
              <w:rPr>
                <w:rFonts w:ascii="Arial" w:cs="Arial" w:eastAsia="Arial" w:hAnsi="Arial"/>
                <w:sz w:val="10"/>
                <w:szCs w:val="10"/>
                <w:b w:val="1"/>
                <w:bCs w:val="1"/>
                <w:color w:val="auto"/>
              </w:rPr>
              <w:t>2024</w:t>
            </w:r>
          </w:p>
        </w:tc>
      </w:tr>
      <w:tr>
        <w:trPr>
          <w:trHeight w:val="20"/>
        </w:trPr>
        <w:tc>
          <w:tcPr>
            <w:tcW w:w="16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9"/>
        </w:trPr>
        <w:tc>
          <w:tcPr>
            <w:tcW w:w="16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40" w:type="dxa"/>
            <w:vAlign w:val="bottom"/>
            <w:gridSpan w:val="6"/>
          </w:tcPr>
          <w:p>
            <w:pPr>
              <w:jc w:val="center"/>
              <w:ind w:left="712"/>
              <w:spacing w:after="0" w:line="109" w:lineRule="exact"/>
              <w:rPr>
                <w:sz w:val="20"/>
                <w:szCs w:val="20"/>
                <w:color w:val="auto"/>
              </w:rPr>
            </w:pPr>
            <w:r>
              <w:rPr>
                <w:rFonts w:ascii="Arial" w:cs="Arial" w:eastAsia="Arial" w:hAnsi="Arial"/>
                <w:sz w:val="10"/>
                <w:szCs w:val="10"/>
                <w:b w:val="1"/>
                <w:bCs w:val="1"/>
                <w:i w:val="1"/>
                <w:iCs w:val="1"/>
                <w:color w:val="auto"/>
                <w:w w:val="96"/>
              </w:rPr>
              <w:t>(Dollars in thousands, except per share amounts)</w:t>
            </w: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31"/>
        </w:trPr>
        <w:tc>
          <w:tcPr>
            <w:tcW w:w="4040" w:type="dxa"/>
            <w:vAlign w:val="bottom"/>
            <w:gridSpan w:val="2"/>
          </w:tcPr>
          <w:p>
            <w:pPr>
              <w:spacing w:after="0"/>
              <w:rPr>
                <w:sz w:val="20"/>
                <w:szCs w:val="20"/>
                <w:color w:val="auto"/>
              </w:rPr>
            </w:pPr>
            <w:r>
              <w:rPr>
                <w:rFonts w:ascii="Arial" w:cs="Arial" w:eastAsia="Arial" w:hAnsi="Arial"/>
                <w:sz w:val="10"/>
                <w:szCs w:val="10"/>
                <w:color w:val="auto"/>
              </w:rPr>
              <w:t>Stockholders' equity</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3,541,277</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3,466,739</w:t>
            </w:r>
          </w:p>
        </w:tc>
        <w:tc>
          <w:tcPr>
            <w:tcW w:w="6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3,426,843</w:t>
            </w:r>
          </w:p>
        </w:tc>
        <w:tc>
          <w:tcPr>
            <w:tcW w:w="80" w:type="dxa"/>
            <w:vAlign w:val="bottom"/>
          </w:tcPr>
          <w:p>
            <w:pPr>
              <w:spacing w:after="0"/>
              <w:rPr>
                <w:sz w:val="11"/>
                <w:szCs w:val="11"/>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3,521,656</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3,499,949</w:t>
            </w:r>
          </w:p>
        </w:tc>
      </w:tr>
      <w:tr>
        <w:trPr>
          <w:trHeight w:val="135"/>
        </w:trPr>
        <w:tc>
          <w:tcPr>
            <w:tcW w:w="4040" w:type="dxa"/>
            <w:vAlign w:val="bottom"/>
            <w:gridSpan w:val="2"/>
          </w:tcPr>
          <w:p>
            <w:pPr>
              <w:spacing w:after="0"/>
              <w:rPr>
                <w:sz w:val="20"/>
                <w:szCs w:val="20"/>
                <w:color w:val="auto"/>
              </w:rPr>
            </w:pPr>
            <w:r>
              <w:rPr>
                <w:rFonts w:ascii="Arial" w:cs="Arial" w:eastAsia="Arial" w:hAnsi="Arial"/>
                <w:sz w:val="10"/>
                <w:szCs w:val="10"/>
                <w:color w:val="auto"/>
              </w:rPr>
              <w:t>Less: Preferred stock</w:t>
            </w: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498,516</w:t>
            </w: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498,516</w:t>
            </w:r>
          </w:p>
        </w:tc>
      </w:tr>
      <w:tr>
        <w:trPr>
          <w:trHeight w:val="124"/>
        </w:trPr>
        <w:tc>
          <w:tcPr>
            <w:tcW w:w="4040" w:type="dxa"/>
            <w:vAlign w:val="bottom"/>
            <w:gridSpan w:val="2"/>
          </w:tcPr>
          <w:p>
            <w:pPr>
              <w:ind w:left="80"/>
              <w:spacing w:after="0"/>
              <w:rPr>
                <w:sz w:val="20"/>
                <w:szCs w:val="20"/>
                <w:color w:val="auto"/>
              </w:rPr>
            </w:pPr>
            <w:r>
              <w:rPr>
                <w:rFonts w:ascii="Arial" w:cs="Arial" w:eastAsia="Arial" w:hAnsi="Arial"/>
                <w:sz w:val="10"/>
                <w:szCs w:val="10"/>
                <w:color w:val="auto"/>
              </w:rPr>
              <w:t>Total common equity</w:t>
            </w:r>
          </w:p>
        </w:tc>
        <w:tc>
          <w:tcPr>
            <w:tcW w:w="22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3,042,761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2,968,223</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2,928,327</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3,023,140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3,001,433</w:t>
            </w:r>
          </w:p>
        </w:tc>
      </w:tr>
      <w:tr>
        <w:trPr>
          <w:trHeight w:val="138"/>
        </w:trPr>
        <w:tc>
          <w:tcPr>
            <w:tcW w:w="4040" w:type="dxa"/>
            <w:vAlign w:val="bottom"/>
            <w:gridSpan w:val="2"/>
          </w:tcPr>
          <w:p>
            <w:pPr>
              <w:spacing w:after="0"/>
              <w:rPr>
                <w:sz w:val="20"/>
                <w:szCs w:val="20"/>
                <w:color w:val="auto"/>
              </w:rPr>
            </w:pPr>
            <w:r>
              <w:rPr>
                <w:rFonts w:ascii="Arial" w:cs="Arial" w:eastAsia="Arial" w:hAnsi="Arial"/>
                <w:sz w:val="10"/>
                <w:szCs w:val="10"/>
                <w:color w:val="auto"/>
              </w:rPr>
              <w:t>Less: Goodwill and intangible assets</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319,808</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326,444</w:t>
            </w: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333,451</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340,458</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347,465</w:t>
            </w:r>
          </w:p>
        </w:tc>
      </w:tr>
      <w:tr>
        <w:trPr>
          <w:trHeight w:val="127"/>
        </w:trPr>
        <w:tc>
          <w:tcPr>
            <w:tcW w:w="4040" w:type="dxa"/>
            <w:vAlign w:val="bottom"/>
            <w:gridSpan w:val="2"/>
          </w:tcPr>
          <w:p>
            <w:pPr>
              <w:ind w:left="80"/>
              <w:spacing w:after="0"/>
              <w:rPr>
                <w:sz w:val="20"/>
                <w:szCs w:val="20"/>
                <w:color w:val="auto"/>
              </w:rPr>
            </w:pPr>
            <w:r>
              <w:rPr>
                <w:rFonts w:ascii="Arial" w:cs="Arial" w:eastAsia="Arial" w:hAnsi="Arial"/>
                <w:sz w:val="10"/>
                <w:szCs w:val="10"/>
                <w:color w:val="auto"/>
              </w:rPr>
              <w:t>Tangible common equity</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2,722,953</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2,641,779</w:t>
            </w:r>
          </w:p>
        </w:tc>
        <w:tc>
          <w:tcPr>
            <w:tcW w:w="60" w:type="dxa"/>
            <w:vAlign w:val="bottom"/>
          </w:tcPr>
          <w:p>
            <w:pPr>
              <w:spacing w:after="0"/>
              <w:rPr>
                <w:sz w:val="11"/>
                <w:szCs w:val="11"/>
                <w:color w:val="auto"/>
              </w:rPr>
            </w:pP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2,594,876</w:t>
            </w:r>
          </w:p>
        </w:tc>
        <w:tc>
          <w:tcPr>
            <w:tcW w:w="80" w:type="dxa"/>
            <w:vAlign w:val="bottom"/>
          </w:tcPr>
          <w:p>
            <w:pPr>
              <w:spacing w:after="0"/>
              <w:rPr>
                <w:sz w:val="11"/>
                <w:szCs w:val="11"/>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2,682,682</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2,653,968</w:t>
            </w:r>
          </w:p>
        </w:tc>
      </w:tr>
      <w:tr>
        <w:trPr>
          <w:trHeight w:val="20"/>
        </w:trPr>
        <w:tc>
          <w:tcPr>
            <w:tcW w:w="1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1"/>
        </w:trPr>
        <w:tc>
          <w:tcPr>
            <w:tcW w:w="4040" w:type="dxa"/>
            <w:vAlign w:val="bottom"/>
            <w:gridSpan w:val="2"/>
          </w:tcPr>
          <w:p>
            <w:pPr>
              <w:spacing w:after="0"/>
              <w:rPr>
                <w:sz w:val="20"/>
                <w:szCs w:val="20"/>
                <w:color w:val="auto"/>
              </w:rPr>
            </w:pPr>
            <w:r>
              <w:rPr>
                <w:rFonts w:ascii="Arial" w:cs="Arial" w:eastAsia="Arial" w:hAnsi="Arial"/>
                <w:sz w:val="10"/>
                <w:szCs w:val="10"/>
                <w:color w:val="auto"/>
              </w:rPr>
              <w:t>Book value per common share (1)</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19.56</w:t>
            </w:r>
          </w:p>
        </w:tc>
        <w:tc>
          <w:tcPr>
            <w:tcW w:w="80" w:type="dxa"/>
            <w:vAlign w:val="bottom"/>
          </w:tcPr>
          <w:p>
            <w:pPr>
              <w:spacing w:after="0"/>
              <w:rPr>
                <w:sz w:val="20"/>
                <w:szCs w:val="20"/>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19.09</w:t>
            </w:r>
          </w:p>
        </w:tc>
        <w:tc>
          <w:tcPr>
            <w:tcW w:w="60" w:type="dxa"/>
            <w:vAlign w:val="bottom"/>
          </w:tcPr>
          <w:p>
            <w:pPr>
              <w:spacing w:after="0"/>
              <w:rPr>
                <w:sz w:val="20"/>
                <w:szCs w:val="20"/>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18.58</w:t>
            </w:r>
          </w:p>
        </w:tc>
        <w:tc>
          <w:tcPr>
            <w:tcW w:w="80" w:type="dxa"/>
            <w:vAlign w:val="bottom"/>
          </w:tcPr>
          <w:p>
            <w:pPr>
              <w:spacing w:after="0"/>
              <w:rPr>
                <w:sz w:val="20"/>
                <w:szCs w:val="20"/>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18.17</w:t>
            </w:r>
          </w:p>
        </w:tc>
        <w:tc>
          <w:tcPr>
            <w:tcW w:w="80" w:type="dxa"/>
            <w:vAlign w:val="bottom"/>
          </w:tcPr>
          <w:p>
            <w:pPr>
              <w:spacing w:after="0"/>
              <w:rPr>
                <w:sz w:val="20"/>
                <w:szCs w:val="20"/>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17.78</w:t>
            </w:r>
          </w:p>
        </w:tc>
      </w:tr>
      <w:tr>
        <w:trPr>
          <w:trHeight w:val="135"/>
        </w:trPr>
        <w:tc>
          <w:tcPr>
            <w:tcW w:w="4040" w:type="dxa"/>
            <w:vAlign w:val="bottom"/>
            <w:gridSpan w:val="2"/>
          </w:tcPr>
          <w:p>
            <w:pPr>
              <w:spacing w:after="0"/>
              <w:rPr>
                <w:sz w:val="20"/>
                <w:szCs w:val="20"/>
                <w:color w:val="auto"/>
              </w:rPr>
            </w:pPr>
            <w:r>
              <w:rPr>
                <w:rFonts w:ascii="Arial" w:cs="Arial" w:eastAsia="Arial" w:hAnsi="Arial"/>
                <w:sz w:val="10"/>
                <w:szCs w:val="10"/>
                <w:color w:val="auto"/>
              </w:rPr>
              <w:t>Tangible book value per common share (2)</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17.51</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16.99</w:t>
            </w:r>
          </w:p>
        </w:tc>
        <w:tc>
          <w:tcPr>
            <w:tcW w:w="6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16.46</w:t>
            </w:r>
          </w:p>
        </w:tc>
        <w:tc>
          <w:tcPr>
            <w:tcW w:w="80" w:type="dxa"/>
            <w:vAlign w:val="bottom"/>
          </w:tcPr>
          <w:p>
            <w:pPr>
              <w:spacing w:after="0"/>
              <w:rPr>
                <w:sz w:val="11"/>
                <w:szCs w:val="11"/>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16.12</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15.72</w:t>
            </w:r>
          </w:p>
        </w:tc>
      </w:tr>
      <w:tr>
        <w:trPr>
          <w:trHeight w:val="135"/>
        </w:trPr>
        <w:tc>
          <w:tcPr>
            <w:tcW w:w="4040" w:type="dxa"/>
            <w:vAlign w:val="bottom"/>
            <w:gridSpan w:val="2"/>
          </w:tcPr>
          <w:p>
            <w:pPr>
              <w:spacing w:after="0"/>
              <w:rPr>
                <w:sz w:val="20"/>
                <w:szCs w:val="20"/>
                <w:color w:val="auto"/>
              </w:rPr>
            </w:pPr>
            <w:r>
              <w:rPr>
                <w:rFonts w:ascii="Arial" w:cs="Arial" w:eastAsia="Arial" w:hAnsi="Arial"/>
                <w:sz w:val="10"/>
                <w:szCs w:val="10"/>
                <w:color w:val="auto"/>
              </w:rPr>
              <w:t>Common shares outstanding (3)</w:t>
            </w: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155,533,403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155,522,693</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157,647,137</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166,403,086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168,825,656</w:t>
            </w: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color w:val="6D6D6D"/>
        </w:rPr>
        <w:t>______________</w:t>
      </w:r>
    </w:p>
    <w:p>
      <w:pPr>
        <w:spacing w:after="0" w:line="15" w:lineRule="exact"/>
        <w:rPr>
          <w:sz w:val="20"/>
          <w:szCs w:val="20"/>
          <w:color w:val="auto"/>
        </w:rPr>
      </w:pPr>
    </w:p>
    <w:p>
      <w:pPr>
        <w:ind w:left="148" w:hanging="148"/>
        <w:spacing w:after="0"/>
        <w:tabs>
          <w:tab w:leader="none" w:pos="148" w:val="left"/>
        </w:tabs>
        <w:numPr>
          <w:ilvl w:val="0"/>
          <w:numId w:val="15"/>
        </w:numPr>
        <w:rPr>
          <w:rFonts w:ascii="Arial" w:cs="Arial" w:eastAsia="Arial" w:hAnsi="Arial"/>
          <w:sz w:val="10"/>
          <w:szCs w:val="10"/>
          <w:color w:val="6D6D6D"/>
        </w:rPr>
      </w:pPr>
      <w:r>
        <w:rPr>
          <w:rFonts w:ascii="Arial" w:cs="Arial" w:eastAsia="Arial" w:hAnsi="Arial"/>
          <w:sz w:val="10"/>
          <w:szCs w:val="10"/>
          <w:color w:val="6D6D6D"/>
        </w:rPr>
        <w:t>Total common equity divided by common shares outstanding.</w:t>
      </w:r>
    </w:p>
    <w:p>
      <w:pPr>
        <w:ind w:left="148" w:hanging="148"/>
        <w:spacing w:after="0"/>
        <w:tabs>
          <w:tab w:leader="none" w:pos="148" w:val="left"/>
        </w:tabs>
        <w:numPr>
          <w:ilvl w:val="0"/>
          <w:numId w:val="15"/>
        </w:numPr>
        <w:rPr>
          <w:rFonts w:ascii="Arial" w:cs="Arial" w:eastAsia="Arial" w:hAnsi="Arial"/>
          <w:sz w:val="10"/>
          <w:szCs w:val="10"/>
          <w:color w:val="6D6D6D"/>
        </w:rPr>
      </w:pPr>
      <w:r>
        <w:rPr>
          <w:rFonts w:ascii="Arial" w:cs="Arial" w:eastAsia="Arial" w:hAnsi="Arial"/>
          <w:sz w:val="10"/>
          <w:szCs w:val="10"/>
          <w:color w:val="6D6D6D"/>
        </w:rPr>
        <w:t>Tangible common equity divided by common shares outstanding.</w:t>
      </w:r>
    </w:p>
    <w:p>
      <w:pPr>
        <w:spacing w:after="0" w:line="1" w:lineRule="exact"/>
        <w:rPr>
          <w:rFonts w:ascii="Arial" w:cs="Arial" w:eastAsia="Arial" w:hAnsi="Arial"/>
          <w:sz w:val="10"/>
          <w:szCs w:val="10"/>
          <w:color w:val="6D6D6D"/>
        </w:rPr>
      </w:pPr>
    </w:p>
    <w:p>
      <w:pPr>
        <w:ind w:left="148" w:hanging="148"/>
        <w:spacing w:after="0"/>
        <w:tabs>
          <w:tab w:leader="none" w:pos="148" w:val="left"/>
        </w:tabs>
        <w:numPr>
          <w:ilvl w:val="0"/>
          <w:numId w:val="15"/>
        </w:numPr>
        <w:rPr>
          <w:rFonts w:ascii="Arial" w:cs="Arial" w:eastAsia="Arial" w:hAnsi="Arial"/>
          <w:sz w:val="10"/>
          <w:szCs w:val="10"/>
          <w:color w:val="6D6D6D"/>
        </w:rPr>
      </w:pPr>
      <w:r>
        <w:rPr>
          <w:rFonts w:ascii="Arial" w:cs="Arial" w:eastAsia="Arial" w:hAnsi="Arial"/>
          <w:sz w:val="10"/>
          <w:szCs w:val="10"/>
          <w:color w:val="6D6D6D"/>
        </w:rPr>
        <w:t>Common shares outstanding include non-voting common stock equivalents that are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508000</wp:posOffset>
            </wp:positionV>
            <wp:extent cx="548640" cy="14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25</w:t>
      </w:r>
    </w:p>
    <w:p>
      <w:pPr>
        <w:sectPr>
          <w:pgSz w:w="11900" w:h="16838" w:orient="portrait"/>
          <w:cols w:equalWidth="0" w:num="1">
            <w:col w:w="11308"/>
          </w:cols>
          <w:pgMar w:left="292" w:top="835" w:right="299" w:bottom="1440" w:gutter="0" w:footer="0" w:header="0"/>
        </w:sectPr>
      </w:pPr>
    </w:p>
    <w:bookmarkStart w:id="29" w:name="page30"/>
    <w:bookmarkEnd w:id="29"/>
    <w:p>
      <w:pPr>
        <w:ind w:left="8"/>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NON-GAAP MEASURES</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(UNAUDITED)</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13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7"/>
              </w:rPr>
              <w:t>Three Months Ended</w:t>
            </w: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3"/>
          </w:tcPr>
          <w:p>
            <w:pPr>
              <w:jc w:val="right"/>
              <w:ind w:right="192"/>
              <w:spacing w:after="0"/>
              <w:rPr>
                <w:sz w:val="20"/>
                <w:szCs w:val="20"/>
                <w:color w:val="auto"/>
              </w:rPr>
            </w:pPr>
            <w:r>
              <w:rPr>
                <w:rFonts w:ascii="Arial" w:cs="Arial" w:eastAsia="Arial" w:hAnsi="Arial"/>
                <w:sz w:val="10"/>
                <w:szCs w:val="10"/>
                <w:b w:val="1"/>
                <w:bCs w:val="1"/>
                <w:color w:val="auto"/>
              </w:rPr>
              <w:t>Year Ended</w:t>
            </w:r>
          </w:p>
        </w:tc>
        <w:tc>
          <w:tcPr>
            <w:tcW w:w="1020" w:type="dxa"/>
            <w:vAlign w:val="bottom"/>
          </w:tcPr>
          <w:p>
            <w:pPr>
              <w:spacing w:after="0"/>
              <w:rPr>
                <w:sz w:val="11"/>
                <w:szCs w:val="11"/>
                <w:color w:val="auto"/>
              </w:rPr>
            </w:pPr>
          </w:p>
        </w:tc>
      </w:tr>
      <w:tr>
        <w:trPr>
          <w:trHeight w:val="124"/>
        </w:trPr>
        <w:tc>
          <w:tcPr>
            <w:tcW w:w="3420" w:type="dxa"/>
            <w:vAlign w:val="bottom"/>
            <w:gridSpan w:val="2"/>
          </w:tcPr>
          <w:p>
            <w:pPr>
              <w:spacing w:after="0"/>
              <w:rPr>
                <w:sz w:val="20"/>
                <w:szCs w:val="20"/>
                <w:color w:val="auto"/>
              </w:rPr>
            </w:pPr>
            <w:r>
              <w:rPr>
                <w:rFonts w:ascii="Arial" w:cs="Arial" w:eastAsia="Arial" w:hAnsi="Arial"/>
                <w:sz w:val="10"/>
                <w:szCs w:val="10"/>
                <w:b w:val="1"/>
                <w:bCs w:val="1"/>
                <w:color w:val="auto"/>
              </w:rPr>
              <w:t>Return on Average Tangible</w:t>
            </w:r>
          </w:p>
        </w:tc>
        <w:tc>
          <w:tcPr>
            <w:tcW w:w="26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10"/>
                <w:szCs w:val="1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September 30,</w:t>
            </w:r>
          </w:p>
        </w:tc>
        <w:tc>
          <w:tcPr>
            <w:tcW w:w="160" w:type="dxa"/>
            <w:vAlign w:val="bottom"/>
          </w:tcPr>
          <w:p>
            <w:pPr>
              <w:spacing w:after="0"/>
              <w:rPr>
                <w:sz w:val="10"/>
                <w:szCs w:val="1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3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b w:val="1"/>
                <w:bCs w:val="1"/>
                <w:color w:val="auto"/>
              </w:rPr>
              <w:t>December 31,</w:t>
            </w:r>
          </w:p>
        </w:tc>
        <w:tc>
          <w:tcPr>
            <w:tcW w:w="1020" w:type="dxa"/>
            <w:vAlign w:val="bottom"/>
            <w:tcBorders>
              <w:bottom w:val="single" w:sz="8" w:color="auto"/>
            </w:tcBorders>
          </w:tcPr>
          <w:p>
            <w:pPr>
              <w:spacing w:after="0"/>
              <w:rPr>
                <w:sz w:val="10"/>
                <w:szCs w:val="10"/>
                <w:color w:val="auto"/>
              </w:rPr>
            </w:pPr>
          </w:p>
        </w:tc>
      </w:tr>
      <w:tr>
        <w:trPr>
          <w:trHeight w:val="99"/>
        </w:trPr>
        <w:tc>
          <w:tcPr>
            <w:tcW w:w="342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Common Equity ("ROATCE")</w:t>
            </w:r>
          </w:p>
        </w:tc>
        <w:tc>
          <w:tcPr>
            <w:tcW w:w="260" w:type="dxa"/>
            <w:vAlign w:val="bottom"/>
          </w:tcPr>
          <w:p>
            <w:pPr>
              <w:spacing w:after="0"/>
              <w:rPr>
                <w:sz w:val="8"/>
                <w:szCs w:val="8"/>
                <w:color w:val="auto"/>
              </w:rPr>
            </w:pPr>
          </w:p>
        </w:tc>
        <w:tc>
          <w:tcPr>
            <w:tcW w:w="12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9"/>
              </w:rPr>
              <w:t>2025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98"/>
              </w:rPr>
              <w:t>2024</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2024</w:t>
            </w:r>
          </w:p>
        </w:tc>
      </w:tr>
      <w:tr>
        <w:trPr>
          <w:trHeight w:val="20"/>
        </w:trPr>
        <w:tc>
          <w:tcPr>
            <w:tcW w:w="13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09"/>
        </w:trPr>
        <w:tc>
          <w:tcPr>
            <w:tcW w:w="13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i w:val="1"/>
                <w:iCs w:val="1"/>
                <w:color w:val="auto"/>
                <w:w w:val="96"/>
              </w:rPr>
              <w:t>(Dollars in thousands)</w:t>
            </w: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4"/>
        </w:trPr>
        <w:tc>
          <w:tcPr>
            <w:tcW w:w="3420" w:type="dxa"/>
            <w:vAlign w:val="bottom"/>
            <w:gridSpan w:val="2"/>
          </w:tcPr>
          <w:p>
            <w:pPr>
              <w:spacing w:after="0"/>
              <w:rPr>
                <w:sz w:val="20"/>
                <w:szCs w:val="20"/>
                <w:color w:val="auto"/>
              </w:rPr>
            </w:pPr>
            <w:r>
              <w:rPr>
                <w:rFonts w:ascii="Arial" w:cs="Arial" w:eastAsia="Arial" w:hAnsi="Arial"/>
                <w:sz w:val="10"/>
                <w:szCs w:val="10"/>
                <w:color w:val="auto"/>
              </w:rPr>
              <w:t>Net earnings</w:t>
            </w: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77,391</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69,629</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56,919</w:t>
            </w:r>
          </w:p>
        </w:tc>
        <w:tc>
          <w:tcPr>
            <w:tcW w:w="60" w:type="dxa"/>
            <w:vAlign w:val="bottom"/>
          </w:tcPr>
          <w:p>
            <w:pPr>
              <w:spacing w:after="0"/>
              <w:rPr>
                <w:sz w:val="11"/>
                <w:szCs w:val="11"/>
                <w:color w:val="auto"/>
              </w:rPr>
            </w:pPr>
          </w:p>
        </w:tc>
        <w:tc>
          <w:tcPr>
            <w:tcW w:w="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228,973</w:t>
            </w: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126,888</w:t>
            </w:r>
          </w:p>
        </w:tc>
      </w:tr>
      <w:tr>
        <w:trPr>
          <w:trHeight w:val="256"/>
        </w:trPr>
        <w:tc>
          <w:tcPr>
            <w:tcW w:w="3420" w:type="dxa"/>
            <w:vAlign w:val="bottom"/>
            <w:gridSpan w:val="2"/>
          </w:tcPr>
          <w:p>
            <w:pPr>
              <w:spacing w:after="0"/>
              <w:rPr>
                <w:sz w:val="20"/>
                <w:szCs w:val="20"/>
                <w:color w:val="auto"/>
              </w:rPr>
            </w:pPr>
            <w:r>
              <w:rPr>
                <w:rFonts w:ascii="Arial" w:cs="Arial" w:eastAsia="Arial" w:hAnsi="Arial"/>
                <w:sz w:val="10"/>
                <w:szCs w:val="10"/>
                <w:color w:val="auto"/>
              </w:rPr>
              <w:t>Earnings before income taxes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70,103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168,654</w:t>
            </w:r>
          </w:p>
        </w:tc>
      </w:tr>
      <w:tr>
        <w:trPr>
          <w:trHeight w:val="135"/>
        </w:trPr>
        <w:tc>
          <w:tcPr>
            <w:tcW w:w="3420" w:type="dxa"/>
            <w:vAlign w:val="bottom"/>
            <w:gridSpan w:val="2"/>
          </w:tcPr>
          <w:p>
            <w:pPr>
              <w:spacing w:after="0"/>
              <w:rPr>
                <w:sz w:val="20"/>
                <w:szCs w:val="20"/>
                <w:color w:val="auto"/>
              </w:rPr>
            </w:pPr>
            <w:r>
              <w:rPr>
                <w:rFonts w:ascii="Arial" w:cs="Arial" w:eastAsia="Arial" w:hAnsi="Arial"/>
                <w:sz w:val="10"/>
                <w:szCs w:val="10"/>
                <w:color w:val="auto"/>
              </w:rPr>
              <w:t>Add: Intangible asset amortization</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7,770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33,143</w:t>
            </w:r>
          </w:p>
        </w:tc>
      </w:tr>
      <w:tr>
        <w:trPr>
          <w:trHeight w:val="115"/>
        </w:trPr>
        <w:tc>
          <w:tcPr>
            <w:tcW w:w="3420" w:type="dxa"/>
            <w:vAlign w:val="bottom"/>
            <w:gridSpan w:val="2"/>
          </w:tcPr>
          <w:p>
            <w:pPr>
              <w:ind w:left="80"/>
              <w:spacing w:after="0"/>
              <w:rPr>
                <w:sz w:val="20"/>
                <w:szCs w:val="20"/>
                <w:color w:val="auto"/>
              </w:rPr>
            </w:pPr>
            <w:r>
              <w:rPr>
                <w:rFonts w:ascii="Arial" w:cs="Arial" w:eastAsia="Arial" w:hAnsi="Arial"/>
                <w:sz w:val="10"/>
                <w:szCs w:val="10"/>
                <w:color w:val="auto"/>
              </w:rPr>
              <w:t>Adjusted earnings before</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35"/>
        </w:trPr>
        <w:tc>
          <w:tcPr>
            <w:tcW w:w="3420" w:type="dxa"/>
            <w:vAlign w:val="bottom"/>
            <w:gridSpan w:val="2"/>
          </w:tcPr>
          <w:p>
            <w:pPr>
              <w:ind w:left="140"/>
              <w:spacing w:after="0"/>
              <w:rPr>
                <w:sz w:val="20"/>
                <w:szCs w:val="20"/>
                <w:color w:val="auto"/>
              </w:rPr>
            </w:pPr>
            <w:r>
              <w:rPr>
                <w:rFonts w:ascii="Arial" w:cs="Arial" w:eastAsia="Arial" w:hAnsi="Arial"/>
                <w:sz w:val="10"/>
                <w:szCs w:val="10"/>
                <w:color w:val="auto"/>
              </w:rPr>
              <w:t>income taxes for ROATCE</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77,873</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201,797</w:t>
            </w:r>
          </w:p>
        </w:tc>
      </w:tr>
      <w:tr>
        <w:trPr>
          <w:trHeight w:val="135"/>
        </w:trPr>
        <w:tc>
          <w:tcPr>
            <w:tcW w:w="3420" w:type="dxa"/>
            <w:vAlign w:val="bottom"/>
            <w:gridSpan w:val="2"/>
          </w:tcPr>
          <w:p>
            <w:pPr>
              <w:spacing w:after="0"/>
              <w:rPr>
                <w:sz w:val="20"/>
                <w:szCs w:val="20"/>
                <w:color w:val="auto"/>
              </w:rPr>
            </w:pPr>
            <w:r>
              <w:rPr>
                <w:rFonts w:ascii="Arial" w:cs="Arial" w:eastAsia="Arial" w:hAnsi="Arial"/>
                <w:sz w:val="10"/>
                <w:szCs w:val="10"/>
                <w:color w:val="auto"/>
              </w:rPr>
              <w:t>Adjusted income tax expense (1)</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(19,281)</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(49,965)</w:t>
            </w:r>
          </w:p>
        </w:tc>
      </w:tr>
      <w:tr>
        <w:trPr>
          <w:trHeight w:val="259"/>
        </w:trPr>
        <w:tc>
          <w:tcPr>
            <w:tcW w:w="3420" w:type="dxa"/>
            <w:vAlign w:val="bottom"/>
            <w:gridSpan w:val="2"/>
          </w:tcPr>
          <w:p>
            <w:pPr>
              <w:spacing w:after="0"/>
              <w:rPr>
                <w:sz w:val="20"/>
                <w:szCs w:val="20"/>
                <w:color w:val="auto"/>
              </w:rPr>
            </w:pPr>
            <w:r>
              <w:rPr>
                <w:rFonts w:ascii="Arial" w:cs="Arial" w:eastAsia="Arial" w:hAnsi="Arial"/>
                <w:sz w:val="10"/>
                <w:szCs w:val="10"/>
                <w:color w:val="auto"/>
              </w:rPr>
              <w:t>Adjustments: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135"/>
        </w:trPr>
        <w:tc>
          <w:tcPr>
            <w:tcW w:w="3420" w:type="dxa"/>
            <w:vAlign w:val="bottom"/>
            <w:gridSpan w:val="2"/>
          </w:tcPr>
          <w:p>
            <w:pPr>
              <w:ind w:left="80"/>
              <w:spacing w:after="0"/>
              <w:rPr>
                <w:sz w:val="20"/>
                <w:szCs w:val="20"/>
                <w:color w:val="auto"/>
              </w:rPr>
            </w:pPr>
            <w:r>
              <w:rPr>
                <w:rFonts w:ascii="Arial" w:cs="Arial" w:eastAsia="Arial" w:hAnsi="Arial"/>
                <w:sz w:val="10"/>
                <w:szCs w:val="10"/>
                <w:color w:val="auto"/>
              </w:rPr>
              <w:t>Intangible asset amortization</w:t>
            </w: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6,788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7,160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28,267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420" w:type="dxa"/>
            <w:vAlign w:val="bottom"/>
            <w:gridSpan w:val="2"/>
          </w:tcPr>
          <w:p>
            <w:pPr>
              <w:ind w:left="80"/>
              <w:spacing w:after="0"/>
              <w:rPr>
                <w:sz w:val="20"/>
                <w:szCs w:val="20"/>
                <w:color w:val="auto"/>
              </w:rPr>
            </w:pPr>
            <w:r>
              <w:rPr>
                <w:rFonts w:ascii="Arial" w:cs="Arial" w:eastAsia="Arial" w:hAnsi="Arial"/>
                <w:sz w:val="10"/>
                <w:szCs w:val="10"/>
                <w:color w:val="auto"/>
              </w:rPr>
              <w:t>Tax impact of adjustment above (1)</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(1,823)</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(1,958)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(7,593)</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7"/>
        </w:trPr>
        <w:tc>
          <w:tcPr>
            <w:tcW w:w="3420" w:type="dxa"/>
            <w:vAlign w:val="bottom"/>
            <w:gridSpan w:val="2"/>
          </w:tcPr>
          <w:p>
            <w:pPr>
              <w:ind w:left="140"/>
              <w:spacing w:after="0"/>
              <w:rPr>
                <w:sz w:val="20"/>
                <w:szCs w:val="20"/>
                <w:color w:val="auto"/>
              </w:rPr>
            </w:pPr>
            <w:r>
              <w:rPr>
                <w:rFonts w:ascii="Arial" w:cs="Arial" w:eastAsia="Arial" w:hAnsi="Arial"/>
                <w:sz w:val="10"/>
                <w:szCs w:val="10"/>
                <w:color w:val="auto"/>
              </w:rPr>
              <w:t>Adjustment to net earnings</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4,965</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5,202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20,674</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6"/>
        </w:trPr>
        <w:tc>
          <w:tcPr>
            <w:tcW w:w="3420" w:type="dxa"/>
            <w:vAlign w:val="bottom"/>
            <w:gridSpan w:val="2"/>
          </w:tcPr>
          <w:p>
            <w:pPr>
              <w:spacing w:after="0"/>
              <w:rPr>
                <w:sz w:val="20"/>
                <w:szCs w:val="20"/>
                <w:color w:val="auto"/>
              </w:rPr>
            </w:pPr>
            <w:r>
              <w:rPr>
                <w:rFonts w:ascii="Arial" w:cs="Arial" w:eastAsia="Arial" w:hAnsi="Arial"/>
                <w:sz w:val="10"/>
                <w:szCs w:val="10"/>
                <w:color w:val="auto"/>
              </w:rPr>
              <w:t>Adjusted net earnings for ROATCE</w:t>
            </w:r>
          </w:p>
        </w:tc>
        <w:tc>
          <w:tcPr>
            <w:tcW w:w="260" w:type="dxa"/>
            <w:vAlign w:val="bottom"/>
          </w:tcPr>
          <w:p>
            <w:pPr>
              <w:spacing w:after="0"/>
              <w:rPr>
                <w:sz w:val="22"/>
                <w:szCs w:val="22"/>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82,356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74,831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58,592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249,647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151,832</w:t>
            </w:r>
          </w:p>
        </w:tc>
      </w:tr>
      <w:tr>
        <w:trPr>
          <w:trHeight w:val="135"/>
        </w:trPr>
        <w:tc>
          <w:tcPr>
            <w:tcW w:w="3420" w:type="dxa"/>
            <w:vAlign w:val="bottom"/>
            <w:gridSpan w:val="2"/>
          </w:tcPr>
          <w:p>
            <w:pPr>
              <w:spacing w:after="0"/>
              <w:rPr>
                <w:sz w:val="20"/>
                <w:szCs w:val="20"/>
                <w:color w:val="auto"/>
              </w:rPr>
            </w:pPr>
            <w:r>
              <w:rPr>
                <w:rFonts w:ascii="Arial" w:cs="Arial" w:eastAsia="Arial" w:hAnsi="Arial"/>
                <w:sz w:val="10"/>
                <w:szCs w:val="10"/>
                <w:color w:val="auto"/>
              </w:rPr>
              <w:t>Less: Preferred stock dividends</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9,947</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9,947</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9,947</w:t>
            </w: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39,788</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39,788</w:t>
            </w:r>
          </w:p>
        </w:tc>
      </w:tr>
      <w:tr>
        <w:trPr>
          <w:trHeight w:val="115"/>
        </w:trPr>
        <w:tc>
          <w:tcPr>
            <w:tcW w:w="3420" w:type="dxa"/>
            <w:vAlign w:val="bottom"/>
            <w:gridSpan w:val="2"/>
          </w:tcPr>
          <w:p>
            <w:pPr>
              <w:ind w:left="80"/>
              <w:spacing w:after="0"/>
              <w:rPr>
                <w:sz w:val="20"/>
                <w:szCs w:val="20"/>
                <w:color w:val="auto"/>
              </w:rPr>
            </w:pPr>
            <w:r>
              <w:rPr>
                <w:rFonts w:ascii="Arial" w:cs="Arial" w:eastAsia="Arial" w:hAnsi="Arial"/>
                <w:sz w:val="10"/>
                <w:szCs w:val="10"/>
                <w:color w:val="auto"/>
              </w:rPr>
              <w:t>Adjusted net earnings available</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35"/>
        </w:trPr>
        <w:tc>
          <w:tcPr>
            <w:tcW w:w="3420" w:type="dxa"/>
            <w:vAlign w:val="bottom"/>
            <w:gridSpan w:val="2"/>
          </w:tcPr>
          <w:p>
            <w:pPr>
              <w:ind w:left="140"/>
              <w:spacing w:after="0"/>
              <w:rPr>
                <w:sz w:val="20"/>
                <w:szCs w:val="20"/>
                <w:color w:val="auto"/>
              </w:rPr>
            </w:pPr>
            <w:r>
              <w:rPr>
                <w:rFonts w:ascii="Arial" w:cs="Arial" w:eastAsia="Arial" w:hAnsi="Arial"/>
                <w:sz w:val="10"/>
                <w:szCs w:val="10"/>
                <w:color w:val="auto"/>
              </w:rPr>
              <w:t>to common and equivalent</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1"/>
        </w:trPr>
        <w:tc>
          <w:tcPr>
            <w:tcW w:w="3420" w:type="dxa"/>
            <w:vAlign w:val="bottom"/>
            <w:gridSpan w:val="2"/>
          </w:tcPr>
          <w:p>
            <w:pPr>
              <w:ind w:left="140"/>
              <w:spacing w:after="0"/>
              <w:rPr>
                <w:sz w:val="20"/>
                <w:szCs w:val="20"/>
                <w:color w:val="auto"/>
              </w:rPr>
            </w:pPr>
            <w:r>
              <w:rPr>
                <w:rFonts w:ascii="Arial" w:cs="Arial" w:eastAsia="Arial" w:hAnsi="Arial"/>
                <w:sz w:val="10"/>
                <w:szCs w:val="10"/>
                <w:color w:val="auto"/>
              </w:rPr>
              <w:t>stockholders for ROATCE</w:t>
            </w: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72,409</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64,884</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48,645</w:t>
            </w:r>
          </w:p>
        </w:tc>
        <w:tc>
          <w:tcPr>
            <w:tcW w:w="60" w:type="dxa"/>
            <w:vAlign w:val="bottom"/>
          </w:tcPr>
          <w:p>
            <w:pPr>
              <w:spacing w:after="0"/>
              <w:rPr>
                <w:sz w:val="12"/>
                <w:szCs w:val="12"/>
                <w:color w:val="auto"/>
              </w:rPr>
            </w:pPr>
          </w:p>
        </w:tc>
        <w:tc>
          <w:tcPr>
            <w:tcW w:w="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209,859</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112,044</w:t>
            </w:r>
          </w:p>
        </w:tc>
      </w:tr>
      <w:tr>
        <w:trPr>
          <w:trHeight w:val="20"/>
        </w:trPr>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1"/>
        </w:trPr>
        <w:tc>
          <w:tcPr>
            <w:tcW w:w="3420" w:type="dxa"/>
            <w:vAlign w:val="bottom"/>
            <w:gridSpan w:val="2"/>
          </w:tcPr>
          <w:p>
            <w:pPr>
              <w:spacing w:after="0"/>
              <w:rPr>
                <w:sz w:val="20"/>
                <w:szCs w:val="20"/>
                <w:color w:val="auto"/>
              </w:rPr>
            </w:pPr>
            <w:r>
              <w:rPr>
                <w:rFonts w:ascii="Arial" w:cs="Arial" w:eastAsia="Arial" w:hAnsi="Arial"/>
                <w:sz w:val="10"/>
                <w:szCs w:val="10"/>
                <w:color w:val="auto"/>
              </w:rPr>
              <w:t>Average stockholders' equity</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3,494,157</w:t>
            </w:r>
          </w:p>
        </w:tc>
        <w:tc>
          <w:tcPr>
            <w:tcW w:w="80" w:type="dxa"/>
            <w:vAlign w:val="bottom"/>
          </w:tcPr>
          <w:p>
            <w:pPr>
              <w:spacing w:after="0"/>
              <w:rPr>
                <w:sz w:val="20"/>
                <w:szCs w:val="2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3,437,335</w:t>
            </w:r>
          </w:p>
        </w:tc>
        <w:tc>
          <w:tcPr>
            <w:tcW w:w="80" w:type="dxa"/>
            <w:vAlign w:val="bottom"/>
          </w:tcPr>
          <w:p>
            <w:pPr>
              <w:spacing w:after="0"/>
              <w:rPr>
                <w:sz w:val="20"/>
                <w:szCs w:val="2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3,486,164</w:t>
            </w:r>
          </w:p>
        </w:tc>
        <w:tc>
          <w:tcPr>
            <w:tcW w:w="60" w:type="dxa"/>
            <w:vAlign w:val="bottom"/>
          </w:tcPr>
          <w:p>
            <w:pPr>
              <w:spacing w:after="0"/>
              <w:rPr>
                <w:sz w:val="20"/>
                <w:szCs w:val="20"/>
                <w:color w:val="auto"/>
              </w:rPr>
            </w:pPr>
          </w:p>
        </w:tc>
        <w:tc>
          <w:tcPr>
            <w:tcW w:w="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3,471,278</w:t>
            </w:r>
          </w:p>
        </w:tc>
        <w:tc>
          <w:tcPr>
            <w:tcW w:w="80" w:type="dxa"/>
            <w:vAlign w:val="bottom"/>
          </w:tcPr>
          <w:p>
            <w:pPr>
              <w:spacing w:after="0"/>
              <w:rPr>
                <w:sz w:val="20"/>
                <w:szCs w:val="20"/>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3,431,364</w:t>
            </w:r>
          </w:p>
        </w:tc>
      </w:tr>
      <w:tr>
        <w:trPr>
          <w:trHeight w:val="135"/>
        </w:trPr>
        <w:tc>
          <w:tcPr>
            <w:tcW w:w="3420" w:type="dxa"/>
            <w:vAlign w:val="bottom"/>
            <w:gridSpan w:val="2"/>
          </w:tcPr>
          <w:p>
            <w:pPr>
              <w:spacing w:after="0"/>
              <w:rPr>
                <w:sz w:val="20"/>
                <w:szCs w:val="20"/>
                <w:color w:val="auto"/>
              </w:rPr>
            </w:pPr>
            <w:r>
              <w:rPr>
                <w:rFonts w:ascii="Arial" w:cs="Arial" w:eastAsia="Arial" w:hAnsi="Arial"/>
                <w:sz w:val="10"/>
                <w:szCs w:val="10"/>
                <w:color w:val="auto"/>
              </w:rPr>
              <w:t>Less: Average goodwill and intangible</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420" w:type="dxa"/>
            <w:vAlign w:val="bottom"/>
            <w:gridSpan w:val="2"/>
          </w:tcPr>
          <w:p>
            <w:pPr>
              <w:ind w:left="80"/>
              <w:spacing w:after="0"/>
              <w:rPr>
                <w:sz w:val="20"/>
                <w:szCs w:val="20"/>
                <w:color w:val="auto"/>
              </w:rPr>
            </w:pPr>
            <w:r>
              <w:rPr>
                <w:rFonts w:ascii="Arial" w:cs="Arial" w:eastAsia="Arial" w:hAnsi="Arial"/>
                <w:sz w:val="10"/>
                <w:szCs w:val="10"/>
                <w:color w:val="auto"/>
              </w:rPr>
              <w:t>assets</w:t>
            </w: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323,295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330,277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352,907</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333,815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356,960</w:t>
            </w:r>
          </w:p>
        </w:tc>
      </w:tr>
      <w:tr>
        <w:trPr>
          <w:trHeight w:val="138"/>
        </w:trPr>
        <w:tc>
          <w:tcPr>
            <w:tcW w:w="3420" w:type="dxa"/>
            <w:vAlign w:val="bottom"/>
            <w:gridSpan w:val="2"/>
          </w:tcPr>
          <w:p>
            <w:pPr>
              <w:spacing w:after="0"/>
              <w:rPr>
                <w:sz w:val="20"/>
                <w:szCs w:val="20"/>
                <w:color w:val="auto"/>
              </w:rPr>
            </w:pPr>
            <w:r>
              <w:rPr>
                <w:rFonts w:ascii="Arial" w:cs="Arial" w:eastAsia="Arial" w:hAnsi="Arial"/>
                <w:sz w:val="10"/>
                <w:szCs w:val="10"/>
                <w:color w:val="auto"/>
              </w:rPr>
              <w:t>Less: Average preferred stock</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498,516</w:t>
            </w: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498,516</w:t>
            </w:r>
          </w:p>
        </w:tc>
      </w:tr>
      <w:tr>
        <w:trPr>
          <w:trHeight w:val="127"/>
        </w:trPr>
        <w:tc>
          <w:tcPr>
            <w:tcW w:w="3420" w:type="dxa"/>
            <w:vAlign w:val="bottom"/>
            <w:gridSpan w:val="2"/>
          </w:tcPr>
          <w:p>
            <w:pPr>
              <w:ind w:left="80"/>
              <w:spacing w:after="0"/>
              <w:rPr>
                <w:sz w:val="20"/>
                <w:szCs w:val="20"/>
                <w:color w:val="auto"/>
              </w:rPr>
            </w:pPr>
            <w:r>
              <w:rPr>
                <w:rFonts w:ascii="Arial" w:cs="Arial" w:eastAsia="Arial" w:hAnsi="Arial"/>
                <w:sz w:val="10"/>
                <w:szCs w:val="10"/>
                <w:color w:val="auto"/>
              </w:rPr>
              <w:t>Average tangible common equity</w:t>
            </w: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2,672,346</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2,608,542</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2,634,741</w:t>
            </w:r>
          </w:p>
        </w:tc>
        <w:tc>
          <w:tcPr>
            <w:tcW w:w="60" w:type="dxa"/>
            <w:vAlign w:val="bottom"/>
          </w:tcPr>
          <w:p>
            <w:pPr>
              <w:spacing w:after="0"/>
              <w:rPr>
                <w:sz w:val="11"/>
                <w:szCs w:val="11"/>
                <w:color w:val="auto"/>
              </w:rPr>
            </w:pPr>
          </w:p>
        </w:tc>
        <w:tc>
          <w:tcPr>
            <w:tcW w:w="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2,638,947</w:t>
            </w: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2,575,888</w:t>
            </w:r>
          </w:p>
        </w:tc>
      </w:tr>
      <w:tr>
        <w:trPr>
          <w:trHeight w:val="20"/>
        </w:trPr>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1"/>
        </w:trPr>
        <w:tc>
          <w:tcPr>
            <w:tcW w:w="3420" w:type="dxa"/>
            <w:vAlign w:val="bottom"/>
            <w:gridSpan w:val="2"/>
          </w:tcPr>
          <w:p>
            <w:pPr>
              <w:spacing w:after="0"/>
              <w:rPr>
                <w:sz w:val="20"/>
                <w:szCs w:val="20"/>
                <w:color w:val="auto"/>
              </w:rPr>
            </w:pPr>
            <w:r>
              <w:rPr>
                <w:rFonts w:ascii="Arial" w:cs="Arial" w:eastAsia="Arial" w:hAnsi="Arial"/>
                <w:sz w:val="10"/>
                <w:szCs w:val="10"/>
                <w:color w:val="auto"/>
              </w:rPr>
              <w:t>Return on average equity (2)</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8.79 %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8.04 %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6.50 %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6.60 %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3.70 %</w:t>
            </w:r>
          </w:p>
        </w:tc>
      </w:tr>
      <w:tr>
        <w:trPr>
          <w:trHeight w:val="135"/>
        </w:trPr>
        <w:tc>
          <w:tcPr>
            <w:tcW w:w="3420" w:type="dxa"/>
            <w:vAlign w:val="bottom"/>
            <w:gridSpan w:val="2"/>
          </w:tcPr>
          <w:p>
            <w:pPr>
              <w:spacing w:after="0"/>
              <w:rPr>
                <w:sz w:val="20"/>
                <w:szCs w:val="20"/>
                <w:color w:val="auto"/>
              </w:rPr>
            </w:pPr>
            <w:r>
              <w:rPr>
                <w:rFonts w:ascii="Arial" w:cs="Arial" w:eastAsia="Arial" w:hAnsi="Arial"/>
                <w:sz w:val="10"/>
                <w:szCs w:val="10"/>
                <w:color w:val="auto"/>
              </w:rPr>
              <w:t>ROATCE (3)</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10.75 %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9.87 %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7.35 %</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7.95 %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4.35 %</w:t>
            </w: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color w:val="6D6D6D"/>
        </w:rPr>
        <w:t>______________</w:t>
      </w:r>
    </w:p>
    <w:p>
      <w:pPr>
        <w:spacing w:after="0" w:line="21" w:lineRule="exact"/>
        <w:rPr>
          <w:sz w:val="20"/>
          <w:szCs w:val="20"/>
          <w:color w:val="auto"/>
        </w:rPr>
      </w:pPr>
    </w:p>
    <w:p>
      <w:pPr>
        <w:ind w:left="168" w:right="140" w:hanging="168"/>
        <w:spacing w:after="0" w:line="235" w:lineRule="auto"/>
        <w:tabs>
          <w:tab w:leader="none" w:pos="150" w:val="left"/>
        </w:tabs>
        <w:numPr>
          <w:ilvl w:val="0"/>
          <w:numId w:val="16"/>
        </w:numPr>
        <w:rPr>
          <w:rFonts w:ascii="Arial" w:cs="Arial" w:eastAsia="Arial" w:hAnsi="Arial"/>
          <w:sz w:val="10"/>
          <w:szCs w:val="10"/>
          <w:color w:val="6D6D6D"/>
        </w:rPr>
      </w:pPr>
      <w:r>
        <w:rPr>
          <w:rFonts w:ascii="Arial" w:cs="Arial" w:eastAsia="Arial" w:hAnsi="Arial"/>
          <w:sz w:val="10"/>
          <w:szCs w:val="10"/>
          <w:color w:val="6D6D6D"/>
        </w:rPr>
        <w:t>Effective tax rates of 26.86%, 27.34%, and 24.76% used for the three months ended December 31, 2025, September 30, 2025, and December 31, 2024, respectively. Effective tax rates of 26.86% and 24.76% used for the year ended December 31, 2025 and 2024.</w:t>
      </w:r>
    </w:p>
    <w:p>
      <w:pPr>
        <w:ind w:left="148" w:hanging="148"/>
        <w:spacing w:after="0"/>
        <w:tabs>
          <w:tab w:leader="none" w:pos="148" w:val="left"/>
        </w:tabs>
        <w:numPr>
          <w:ilvl w:val="0"/>
          <w:numId w:val="16"/>
        </w:numPr>
        <w:rPr>
          <w:rFonts w:ascii="Arial" w:cs="Arial" w:eastAsia="Arial" w:hAnsi="Arial"/>
          <w:sz w:val="10"/>
          <w:szCs w:val="10"/>
          <w:color w:val="6D6D6D"/>
        </w:rPr>
      </w:pPr>
      <w:r>
        <w:rPr>
          <w:rFonts w:ascii="Arial" w:cs="Arial" w:eastAsia="Arial" w:hAnsi="Arial"/>
          <w:sz w:val="10"/>
          <w:szCs w:val="10"/>
          <w:color w:val="6D6D6D"/>
        </w:rPr>
        <w:t>Annualized net earnings divided by average stockholders' equity.</w:t>
      </w:r>
    </w:p>
    <w:p>
      <w:pPr>
        <w:spacing w:after="0" w:line="2" w:lineRule="exact"/>
        <w:rPr>
          <w:rFonts w:ascii="Arial" w:cs="Arial" w:eastAsia="Arial" w:hAnsi="Arial"/>
          <w:sz w:val="10"/>
          <w:szCs w:val="10"/>
          <w:color w:val="6D6D6D"/>
        </w:rPr>
      </w:pPr>
    </w:p>
    <w:p>
      <w:pPr>
        <w:ind w:left="148" w:hanging="148"/>
        <w:spacing w:after="0"/>
        <w:tabs>
          <w:tab w:leader="none" w:pos="148" w:val="left"/>
        </w:tabs>
        <w:numPr>
          <w:ilvl w:val="0"/>
          <w:numId w:val="16"/>
        </w:numPr>
        <w:rPr>
          <w:rFonts w:ascii="Arial" w:cs="Arial" w:eastAsia="Arial" w:hAnsi="Arial"/>
          <w:sz w:val="10"/>
          <w:szCs w:val="10"/>
          <w:color w:val="6D6D6D"/>
        </w:rPr>
      </w:pPr>
      <w:r>
        <w:rPr>
          <w:rFonts w:ascii="Arial" w:cs="Arial" w:eastAsia="Arial" w:hAnsi="Arial"/>
          <w:sz w:val="10"/>
          <w:szCs w:val="10"/>
          <w:color w:val="6D6D6D"/>
        </w:rPr>
        <w:t>Annualized adjusted net earnings available to common and equivalent stockholders for ROATCE divided by average tangible</w:t>
      </w:r>
    </w:p>
    <w:p>
      <w:pPr>
        <w:spacing w:after="0" w:line="2" w:lineRule="exact"/>
        <w:rPr>
          <w:sz w:val="20"/>
          <w:szCs w:val="20"/>
          <w:color w:val="auto"/>
        </w:rPr>
      </w:pPr>
    </w:p>
    <w:p>
      <w:pPr>
        <w:ind w:left="8"/>
        <w:spacing w:after="0"/>
        <w:rPr>
          <w:sz w:val="20"/>
          <w:szCs w:val="20"/>
          <w:color w:val="auto"/>
        </w:rPr>
      </w:pPr>
      <w:r>
        <w:rPr>
          <w:rFonts w:ascii="Arial" w:cs="Arial" w:eastAsia="Arial" w:hAnsi="Arial"/>
          <w:sz w:val="10"/>
          <w:szCs w:val="10"/>
          <w:color w:val="6D6D6D"/>
        </w:rPr>
        <w:t>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508000</wp:posOffset>
            </wp:positionV>
            <wp:extent cx="548640"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26</w:t>
      </w:r>
    </w:p>
    <w:p>
      <w:pPr>
        <w:sectPr>
          <w:pgSz w:w="11900" w:h="16838" w:orient="portrait"/>
          <w:cols w:equalWidth="0" w:num="1">
            <w:col w:w="11188"/>
          </w:cols>
          <w:pgMar w:left="292" w:top="1096" w:right="419" w:bottom="1440" w:gutter="0" w:footer="0" w:header="0"/>
        </w:sectPr>
      </w:pPr>
    </w:p>
    <w:bookmarkStart w:id="30" w:name="page31"/>
    <w:bookmarkEnd w:id="30"/>
    <w:p>
      <w:pPr>
        <w:ind w:left="8"/>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NON-GAAP MEASURES</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(UNAUDITED)</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1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Three Months Ended</w:t>
            </w: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3"/>
          </w:tcPr>
          <w:p>
            <w:pPr>
              <w:jc w:val="right"/>
              <w:ind w:right="192"/>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Pr>
          <w:p>
            <w:pPr>
              <w:spacing w:after="0"/>
              <w:rPr>
                <w:sz w:val="11"/>
                <w:szCs w:val="11"/>
                <w:color w:val="auto"/>
              </w:rPr>
            </w:pPr>
          </w:p>
        </w:tc>
      </w:tr>
      <w:tr>
        <w:trPr>
          <w:trHeight w:val="124"/>
        </w:trPr>
        <w:tc>
          <w:tcPr>
            <w:tcW w:w="3520" w:type="dxa"/>
            <w:vAlign w:val="bottom"/>
            <w:gridSpan w:val="2"/>
          </w:tcPr>
          <w:p>
            <w:pPr>
              <w:spacing w:after="0"/>
              <w:rPr>
                <w:sz w:val="20"/>
                <w:szCs w:val="20"/>
                <w:color w:val="auto"/>
              </w:rPr>
            </w:pPr>
            <w:r>
              <w:rPr>
                <w:rFonts w:ascii="Arial" w:cs="Arial" w:eastAsia="Arial" w:hAnsi="Arial"/>
                <w:sz w:val="10"/>
                <w:szCs w:val="10"/>
                <w:b w:val="1"/>
                <w:bCs w:val="1"/>
                <w:color w:val="auto"/>
              </w:rPr>
              <w:t>Adjusted Return on Average</w:t>
            </w:r>
          </w:p>
        </w:tc>
        <w:tc>
          <w:tcPr>
            <w:tcW w:w="260" w:type="dxa"/>
            <w:vAlign w:val="bottom"/>
          </w:tcPr>
          <w:p>
            <w:pPr>
              <w:spacing w:after="0"/>
              <w:rPr>
                <w:sz w:val="10"/>
                <w:szCs w:val="10"/>
                <w:color w:val="auto"/>
              </w:rPr>
            </w:pPr>
          </w:p>
        </w:tc>
        <w:tc>
          <w:tcPr>
            <w:tcW w:w="130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0"/>
                <w:szCs w:val="1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September 30,</w:t>
            </w:r>
          </w:p>
        </w:tc>
        <w:tc>
          <w:tcPr>
            <w:tcW w:w="140" w:type="dxa"/>
            <w:vAlign w:val="bottom"/>
          </w:tcPr>
          <w:p>
            <w:pPr>
              <w:spacing w:after="0"/>
              <w:rPr>
                <w:sz w:val="10"/>
                <w:szCs w:val="1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December 31,</w:t>
            </w:r>
          </w:p>
        </w:tc>
        <w:tc>
          <w:tcPr>
            <w:tcW w:w="3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0"/>
                <w:szCs w:val="10"/>
                <w:color w:val="auto"/>
              </w:rPr>
            </w:pPr>
          </w:p>
        </w:tc>
      </w:tr>
      <w:tr>
        <w:trPr>
          <w:trHeight w:val="99"/>
        </w:trPr>
        <w:tc>
          <w:tcPr>
            <w:tcW w:w="352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Tangible Common Equity ("ROATCE")</w:t>
            </w:r>
          </w:p>
        </w:tc>
        <w:tc>
          <w:tcPr>
            <w:tcW w:w="260" w:type="dxa"/>
            <w:vAlign w:val="bottom"/>
          </w:tcPr>
          <w:p>
            <w:pPr>
              <w:spacing w:after="0"/>
              <w:rPr>
                <w:sz w:val="8"/>
                <w:szCs w:val="8"/>
                <w:color w:val="auto"/>
              </w:rPr>
            </w:pPr>
          </w:p>
        </w:tc>
        <w:tc>
          <w:tcPr>
            <w:tcW w:w="12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2025</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jc w:val="center"/>
              <w:ind w:right="132"/>
              <w:spacing w:after="0" w:line="99" w:lineRule="exact"/>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jc w:val="center"/>
              <w:ind w:right="92"/>
              <w:spacing w:after="0" w:line="99" w:lineRule="exact"/>
              <w:rPr>
                <w:sz w:val="20"/>
                <w:szCs w:val="20"/>
                <w:color w:val="auto"/>
              </w:rPr>
            </w:pPr>
            <w:r>
              <w:rPr>
                <w:rFonts w:ascii="Arial" w:cs="Arial" w:eastAsia="Arial" w:hAnsi="Arial"/>
                <w:sz w:val="10"/>
                <w:szCs w:val="10"/>
                <w:b w:val="1"/>
                <w:bCs w:val="1"/>
                <w:color w:val="auto"/>
                <w:w w:val="89"/>
              </w:rPr>
              <w:t>2024</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2024</w:t>
            </w:r>
          </w:p>
        </w:tc>
      </w:tr>
      <w:tr>
        <w:trPr>
          <w:trHeight w:val="20"/>
        </w:trPr>
        <w:tc>
          <w:tcPr>
            <w:tcW w:w="174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09"/>
        </w:trPr>
        <w:tc>
          <w:tcPr>
            <w:tcW w:w="17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2"/>
          </w:tcPr>
          <w:p>
            <w:pPr>
              <w:jc w:val="center"/>
              <w:ind w:right="200"/>
              <w:spacing w:after="0" w:line="109" w:lineRule="exact"/>
              <w:rPr>
                <w:sz w:val="20"/>
                <w:szCs w:val="20"/>
                <w:color w:val="auto"/>
              </w:rPr>
            </w:pPr>
            <w:r>
              <w:rPr>
                <w:rFonts w:ascii="Arial" w:cs="Arial" w:eastAsia="Arial" w:hAnsi="Arial"/>
                <w:sz w:val="10"/>
                <w:szCs w:val="10"/>
                <w:b w:val="1"/>
                <w:bCs w:val="1"/>
                <w:i w:val="1"/>
                <w:iCs w:val="1"/>
                <w:color w:val="auto"/>
                <w:w w:val="96"/>
              </w:rPr>
              <w:t>(Dollars in thousands)</w:t>
            </w: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34"/>
        </w:trPr>
        <w:tc>
          <w:tcPr>
            <w:tcW w:w="3520" w:type="dxa"/>
            <w:vAlign w:val="bottom"/>
            <w:gridSpan w:val="2"/>
          </w:tcPr>
          <w:p>
            <w:pPr>
              <w:spacing w:after="0"/>
              <w:rPr>
                <w:sz w:val="20"/>
                <w:szCs w:val="20"/>
                <w:color w:val="auto"/>
              </w:rPr>
            </w:pPr>
            <w:r>
              <w:rPr>
                <w:rFonts w:ascii="Arial" w:cs="Arial" w:eastAsia="Arial" w:hAnsi="Arial"/>
                <w:sz w:val="10"/>
                <w:szCs w:val="10"/>
                <w:color w:val="auto"/>
              </w:rPr>
              <w:t>Net earnings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77,391</w:t>
            </w:r>
          </w:p>
        </w:tc>
        <w:tc>
          <w:tcPr>
            <w:tcW w:w="60" w:type="dxa"/>
            <w:vAlign w:val="bottom"/>
          </w:tcPr>
          <w:p>
            <w:pPr>
              <w:spacing w:after="0"/>
              <w:rPr>
                <w:sz w:val="11"/>
                <w:szCs w:val="11"/>
                <w:color w:val="auto"/>
              </w:rPr>
            </w:pP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69,629</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56,919</w:t>
            </w:r>
          </w:p>
        </w:tc>
        <w:tc>
          <w:tcPr>
            <w:tcW w:w="80" w:type="dxa"/>
            <w:vAlign w:val="bottom"/>
          </w:tcPr>
          <w:p>
            <w:pPr>
              <w:spacing w:after="0"/>
              <w:rPr>
                <w:sz w:val="11"/>
                <w:szCs w:val="11"/>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228,973</w:t>
            </w: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126,888</w:t>
            </w:r>
          </w:p>
        </w:tc>
      </w:tr>
      <w:tr>
        <w:trPr>
          <w:trHeight w:val="256"/>
        </w:trPr>
        <w:tc>
          <w:tcPr>
            <w:tcW w:w="3520" w:type="dxa"/>
            <w:vAlign w:val="bottom"/>
            <w:gridSpan w:val="2"/>
          </w:tcPr>
          <w:p>
            <w:pPr>
              <w:spacing w:after="0"/>
              <w:rPr>
                <w:sz w:val="20"/>
                <w:szCs w:val="20"/>
                <w:color w:val="auto"/>
              </w:rPr>
            </w:pPr>
            <w:r>
              <w:rPr>
                <w:rFonts w:ascii="Arial" w:cs="Arial" w:eastAsia="Arial" w:hAnsi="Arial"/>
                <w:sz w:val="10"/>
                <w:szCs w:val="10"/>
                <w:color w:val="auto"/>
              </w:rPr>
              <w:t>Earnings before income taxes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70,103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168,654</w:t>
            </w: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Add: Intangible asset amortization</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7,770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33,143</w:t>
            </w: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Add: FDIC special assessment</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4,814</w:t>
            </w: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Add: Loss on sale of securities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ind w:left="1200"/>
              <w:spacing w:after="0"/>
              <w:rPr>
                <w:sz w:val="20"/>
                <w:szCs w:val="20"/>
                <w:color w:val="auto"/>
              </w:rPr>
            </w:pPr>
            <w:r>
              <w:rPr>
                <w:rFonts w:ascii="Arial" w:cs="Arial" w:eastAsia="Arial" w:hAnsi="Arial"/>
                <w:sz w:val="10"/>
                <w:szCs w:val="10"/>
                <w:color w:val="auto"/>
              </w:rPr>
              <w:t>NA</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59,946</w:t>
            </w: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Less: Acquisition, integration, and</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3520" w:type="dxa"/>
            <w:vAlign w:val="bottom"/>
            <w:gridSpan w:val="2"/>
          </w:tcPr>
          <w:p>
            <w:pPr>
              <w:ind w:left="140"/>
              <w:spacing w:after="0"/>
              <w:rPr>
                <w:sz w:val="20"/>
                <w:szCs w:val="20"/>
                <w:color w:val="auto"/>
              </w:rPr>
            </w:pPr>
            <w:r>
              <w:rPr>
                <w:rFonts w:ascii="Arial" w:cs="Arial" w:eastAsia="Arial" w:hAnsi="Arial"/>
                <w:sz w:val="10"/>
                <w:szCs w:val="10"/>
                <w:color w:val="auto"/>
              </w:rPr>
              <w:t>reorganization costs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ind w:left="1200"/>
              <w:spacing w:after="0"/>
              <w:rPr>
                <w:sz w:val="20"/>
                <w:szCs w:val="20"/>
                <w:color w:val="auto"/>
              </w:rPr>
            </w:pPr>
            <w:r>
              <w:rPr>
                <w:rFonts w:ascii="Arial" w:cs="Arial" w:eastAsia="Arial" w:hAnsi="Arial"/>
                <w:sz w:val="10"/>
                <w:szCs w:val="10"/>
                <w:color w:val="auto"/>
              </w:rPr>
              <w:t>NA</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(510)</w:t>
            </w:r>
          </w:p>
        </w:tc>
      </w:tr>
      <w:tr>
        <w:trPr>
          <w:trHeight w:val="11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Adjusted earnings before income</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r>
        <w:trPr>
          <w:trHeight w:val="135"/>
        </w:trPr>
        <w:tc>
          <w:tcPr>
            <w:tcW w:w="3520" w:type="dxa"/>
            <w:vAlign w:val="bottom"/>
            <w:gridSpan w:val="2"/>
          </w:tcPr>
          <w:p>
            <w:pPr>
              <w:ind w:left="140"/>
              <w:spacing w:after="0"/>
              <w:rPr>
                <w:sz w:val="20"/>
                <w:szCs w:val="20"/>
                <w:color w:val="auto"/>
              </w:rPr>
            </w:pPr>
            <w:r>
              <w:rPr>
                <w:rFonts w:ascii="Arial" w:cs="Arial" w:eastAsia="Arial" w:hAnsi="Arial"/>
                <w:sz w:val="10"/>
                <w:szCs w:val="10"/>
                <w:color w:val="auto"/>
              </w:rPr>
              <w:t>taxes for adjusted ROATCE</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77,873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266,047</w:t>
            </w: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Adjusted income tax expense (1)</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(19,281)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(65,873)</w:t>
            </w:r>
          </w:p>
        </w:tc>
      </w:tr>
      <w:tr>
        <w:trPr>
          <w:trHeight w:val="259"/>
        </w:trPr>
        <w:tc>
          <w:tcPr>
            <w:tcW w:w="3520" w:type="dxa"/>
            <w:vAlign w:val="bottom"/>
            <w:gridSpan w:val="2"/>
          </w:tcPr>
          <w:p>
            <w:pPr>
              <w:spacing w:after="0"/>
              <w:rPr>
                <w:sz w:val="20"/>
                <w:szCs w:val="20"/>
                <w:color w:val="auto"/>
              </w:rPr>
            </w:pPr>
            <w:r>
              <w:rPr>
                <w:rFonts w:ascii="Arial" w:cs="Arial" w:eastAsia="Arial" w:hAnsi="Arial"/>
                <w:sz w:val="10"/>
                <w:szCs w:val="10"/>
                <w:color w:val="auto"/>
              </w:rPr>
              <w:t>Adjustments: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Intangible asset amortization</w:t>
            </w: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6,788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7,160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92"/>
              <w:spacing w:after="0"/>
              <w:rPr>
                <w:sz w:val="20"/>
                <w:szCs w:val="20"/>
                <w:color w:val="auto"/>
              </w:rPr>
            </w:pPr>
            <w:r>
              <w:rPr>
                <w:rFonts w:ascii="Arial" w:cs="Arial" w:eastAsia="Arial" w:hAnsi="Arial"/>
                <w:sz w:val="10"/>
                <w:szCs w:val="10"/>
                <w:color w:val="auto"/>
              </w:rPr>
              <w:t>28,267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Provision for credit losses related to</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3520" w:type="dxa"/>
            <w:vAlign w:val="bottom"/>
            <w:gridSpan w:val="2"/>
          </w:tcPr>
          <w:p>
            <w:pPr>
              <w:ind w:left="140"/>
              <w:spacing w:after="0"/>
              <w:rPr>
                <w:sz w:val="20"/>
                <w:szCs w:val="20"/>
                <w:color w:val="auto"/>
              </w:rPr>
            </w:pPr>
            <w:r>
              <w:rPr>
                <w:rFonts w:ascii="Arial" w:cs="Arial" w:eastAsia="Arial" w:hAnsi="Arial"/>
                <w:sz w:val="10"/>
                <w:szCs w:val="10"/>
                <w:color w:val="auto"/>
              </w:rPr>
              <w:t>transfer of loans to held for sale</w:t>
            </w:r>
          </w:p>
        </w:tc>
        <w:tc>
          <w:tcPr>
            <w:tcW w:w="260" w:type="dxa"/>
            <w:vAlign w:val="bottom"/>
          </w:tcPr>
          <w:p>
            <w:pPr>
              <w:spacing w:after="0"/>
              <w:rPr>
                <w:sz w:val="11"/>
                <w:szCs w:val="1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92"/>
              <w:spacing w:after="0"/>
              <w:rPr>
                <w:sz w:val="20"/>
                <w:szCs w:val="20"/>
                <w:color w:val="auto"/>
              </w:rPr>
            </w:pPr>
            <w:r>
              <w:rPr>
                <w:rFonts w:ascii="Arial" w:cs="Arial" w:eastAsia="Arial" w:hAnsi="Arial"/>
                <w:sz w:val="10"/>
                <w:szCs w:val="10"/>
                <w:color w:val="auto"/>
              </w:rPr>
              <w:t>26,289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24"/>
        </w:trPr>
        <w:tc>
          <w:tcPr>
            <w:tcW w:w="3520" w:type="dxa"/>
            <w:vAlign w:val="bottom"/>
            <w:gridSpan w:val="2"/>
          </w:tcPr>
          <w:p>
            <w:pPr>
              <w:ind w:left="220"/>
              <w:spacing w:after="0"/>
              <w:rPr>
                <w:sz w:val="20"/>
                <w:szCs w:val="20"/>
                <w:color w:val="auto"/>
              </w:rPr>
            </w:pPr>
            <w:r>
              <w:rPr>
                <w:rFonts w:ascii="Arial" w:cs="Arial" w:eastAsia="Arial" w:hAnsi="Arial"/>
                <w:sz w:val="10"/>
                <w:szCs w:val="10"/>
                <w:color w:val="auto"/>
              </w:rPr>
              <w:t>Total adjustments</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rPr>
              <w:t>6,788</w:t>
            </w: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7,160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rPr>
              <w:t>54,556</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Tax impact of adjustments above (1)</w:t>
            </w:r>
          </w:p>
        </w:tc>
        <w:tc>
          <w:tcPr>
            <w:tcW w:w="260" w:type="dxa"/>
            <w:vAlign w:val="bottom"/>
          </w:tcPr>
          <w:p>
            <w:pPr>
              <w:spacing w:after="0"/>
              <w:rPr>
                <w:sz w:val="11"/>
                <w:szCs w:val="11"/>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(1,823)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right"/>
              <w:ind w:right="52"/>
              <w:spacing w:after="0"/>
              <w:rPr>
                <w:sz w:val="20"/>
                <w:szCs w:val="20"/>
                <w:color w:val="auto"/>
              </w:rPr>
            </w:pPr>
            <w:r>
              <w:rPr>
                <w:rFonts w:ascii="Arial" w:cs="Arial" w:eastAsia="Arial" w:hAnsi="Arial"/>
                <w:sz w:val="10"/>
                <w:szCs w:val="10"/>
                <w:color w:val="auto"/>
              </w:rPr>
              <w:t>(1,958)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(14,654)</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Income tax related adjustments</w:t>
            </w:r>
          </w:p>
        </w:tc>
        <w:tc>
          <w:tcPr>
            <w:tcW w:w="260" w:type="dxa"/>
            <w:vAlign w:val="bottom"/>
          </w:tcPr>
          <w:p>
            <w:pPr>
              <w:spacing w:after="0"/>
              <w:rPr>
                <w:sz w:val="11"/>
                <w:szCs w:val="1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92"/>
              <w:spacing w:after="0"/>
              <w:rPr>
                <w:sz w:val="20"/>
                <w:szCs w:val="20"/>
                <w:color w:val="auto"/>
              </w:rPr>
            </w:pPr>
            <w:r>
              <w:rPr>
                <w:rFonts w:ascii="Arial" w:cs="Arial" w:eastAsia="Arial" w:hAnsi="Arial"/>
                <w:sz w:val="10"/>
                <w:szCs w:val="10"/>
                <w:color w:val="auto"/>
              </w:rPr>
              <w:t>9,792</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24"/>
        </w:trPr>
        <w:tc>
          <w:tcPr>
            <w:tcW w:w="3520" w:type="dxa"/>
            <w:vAlign w:val="bottom"/>
            <w:gridSpan w:val="2"/>
          </w:tcPr>
          <w:p>
            <w:pPr>
              <w:ind w:left="220"/>
              <w:spacing w:after="0"/>
              <w:rPr>
                <w:sz w:val="20"/>
                <w:szCs w:val="20"/>
                <w:color w:val="auto"/>
              </w:rPr>
            </w:pPr>
            <w:r>
              <w:rPr>
                <w:rFonts w:ascii="Arial" w:cs="Arial" w:eastAsia="Arial" w:hAnsi="Arial"/>
                <w:sz w:val="10"/>
                <w:szCs w:val="10"/>
                <w:color w:val="auto"/>
              </w:rPr>
              <w:t>Adjustment to net earnings</w:t>
            </w:r>
          </w:p>
        </w:tc>
        <w:tc>
          <w:tcPr>
            <w:tcW w:w="26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4,965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5,202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49,694</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9"/>
        </w:trPr>
        <w:tc>
          <w:tcPr>
            <w:tcW w:w="3520" w:type="dxa"/>
            <w:vAlign w:val="bottom"/>
            <w:gridSpan w:val="2"/>
          </w:tcPr>
          <w:p>
            <w:pPr>
              <w:spacing w:after="0"/>
              <w:rPr>
                <w:sz w:val="20"/>
                <w:szCs w:val="20"/>
                <w:color w:val="auto"/>
              </w:rPr>
            </w:pPr>
            <w:r>
              <w:rPr>
                <w:rFonts w:ascii="Arial" w:cs="Arial" w:eastAsia="Arial" w:hAnsi="Arial"/>
                <w:sz w:val="10"/>
                <w:szCs w:val="10"/>
                <w:color w:val="auto"/>
              </w:rPr>
              <w:t>Adjusted net earnings for adjusted</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ROATCE</w:t>
            </w: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82,356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74,831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58,592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92"/>
              <w:spacing w:after="0"/>
              <w:rPr>
                <w:sz w:val="20"/>
                <w:szCs w:val="20"/>
                <w:color w:val="auto"/>
              </w:rPr>
            </w:pPr>
            <w:r>
              <w:rPr>
                <w:rFonts w:ascii="Arial" w:cs="Arial" w:eastAsia="Arial" w:hAnsi="Arial"/>
                <w:sz w:val="10"/>
                <w:szCs w:val="10"/>
                <w:color w:val="auto"/>
              </w:rPr>
              <w:t>278,667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200,174</w:t>
            </w: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Less: Preferred stock dividends</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9,947</w:t>
            </w: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9,947</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9,947</w:t>
            </w: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39,788</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39,788</w:t>
            </w:r>
          </w:p>
        </w:tc>
      </w:tr>
      <w:tr>
        <w:trPr>
          <w:trHeight w:val="11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Adjusted net earnings available to</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5"/>
        </w:trPr>
        <w:tc>
          <w:tcPr>
            <w:tcW w:w="3520" w:type="dxa"/>
            <w:vAlign w:val="bottom"/>
            <w:gridSpan w:val="2"/>
          </w:tcPr>
          <w:p>
            <w:pPr>
              <w:ind w:left="140"/>
              <w:spacing w:after="0"/>
              <w:rPr>
                <w:sz w:val="20"/>
                <w:szCs w:val="20"/>
                <w:color w:val="auto"/>
              </w:rPr>
            </w:pPr>
            <w:r>
              <w:rPr>
                <w:rFonts w:ascii="Arial" w:cs="Arial" w:eastAsia="Arial" w:hAnsi="Arial"/>
                <w:sz w:val="10"/>
                <w:szCs w:val="10"/>
                <w:color w:val="auto"/>
              </w:rPr>
              <w:t>common and equivalent stockholders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1"/>
        </w:trPr>
        <w:tc>
          <w:tcPr>
            <w:tcW w:w="3520" w:type="dxa"/>
            <w:vAlign w:val="bottom"/>
            <w:gridSpan w:val="2"/>
          </w:tcPr>
          <w:p>
            <w:pPr>
              <w:ind w:left="140"/>
              <w:spacing w:after="0"/>
              <w:rPr>
                <w:sz w:val="20"/>
                <w:szCs w:val="20"/>
                <w:color w:val="auto"/>
              </w:rPr>
            </w:pPr>
            <w:r>
              <w:rPr>
                <w:rFonts w:ascii="Arial" w:cs="Arial" w:eastAsia="Arial" w:hAnsi="Arial"/>
                <w:sz w:val="10"/>
                <w:szCs w:val="10"/>
                <w:color w:val="auto"/>
              </w:rPr>
              <w:t>for adjusted ROATCE</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72,409</w:t>
            </w: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64,884</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48,645</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238,879</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160,386</w:t>
            </w:r>
          </w:p>
        </w:tc>
      </w:tr>
      <w:tr>
        <w:trPr>
          <w:trHeight w:val="20"/>
        </w:trPr>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1"/>
        </w:trPr>
        <w:tc>
          <w:tcPr>
            <w:tcW w:w="3520" w:type="dxa"/>
            <w:vAlign w:val="bottom"/>
            <w:gridSpan w:val="2"/>
          </w:tcPr>
          <w:p>
            <w:pPr>
              <w:spacing w:after="0"/>
              <w:rPr>
                <w:sz w:val="20"/>
                <w:szCs w:val="20"/>
                <w:color w:val="auto"/>
              </w:rPr>
            </w:pPr>
            <w:r>
              <w:rPr>
                <w:rFonts w:ascii="Arial" w:cs="Arial" w:eastAsia="Arial" w:hAnsi="Arial"/>
                <w:sz w:val="10"/>
                <w:szCs w:val="10"/>
                <w:color w:val="auto"/>
              </w:rPr>
              <w:t>Average stockholders' equity</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3,494,157</w:t>
            </w:r>
          </w:p>
        </w:tc>
        <w:tc>
          <w:tcPr>
            <w:tcW w:w="60" w:type="dxa"/>
            <w:vAlign w:val="bottom"/>
          </w:tcPr>
          <w:p>
            <w:pPr>
              <w:spacing w:after="0"/>
              <w:rPr>
                <w:sz w:val="20"/>
                <w:szCs w:val="2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3,437,335</w:t>
            </w:r>
          </w:p>
        </w:tc>
        <w:tc>
          <w:tcPr>
            <w:tcW w:w="80" w:type="dxa"/>
            <w:vAlign w:val="bottom"/>
          </w:tcPr>
          <w:p>
            <w:pPr>
              <w:spacing w:after="0"/>
              <w:rPr>
                <w:sz w:val="20"/>
                <w:szCs w:val="2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3,486,164</w:t>
            </w:r>
          </w:p>
        </w:tc>
        <w:tc>
          <w:tcPr>
            <w:tcW w:w="80" w:type="dxa"/>
            <w:vAlign w:val="bottom"/>
          </w:tcPr>
          <w:p>
            <w:pPr>
              <w:spacing w:after="0"/>
              <w:rPr>
                <w:sz w:val="20"/>
                <w:szCs w:val="20"/>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92"/>
              <w:spacing w:after="0"/>
              <w:rPr>
                <w:sz w:val="20"/>
                <w:szCs w:val="20"/>
                <w:color w:val="auto"/>
              </w:rPr>
            </w:pPr>
            <w:r>
              <w:rPr>
                <w:rFonts w:ascii="Arial" w:cs="Arial" w:eastAsia="Arial" w:hAnsi="Arial"/>
                <w:sz w:val="10"/>
                <w:szCs w:val="10"/>
                <w:color w:val="auto"/>
              </w:rPr>
              <w:t>3,471,278</w:t>
            </w:r>
          </w:p>
        </w:tc>
        <w:tc>
          <w:tcPr>
            <w:tcW w:w="80" w:type="dxa"/>
            <w:vAlign w:val="bottom"/>
          </w:tcPr>
          <w:p>
            <w:pPr>
              <w:spacing w:after="0"/>
              <w:rPr>
                <w:sz w:val="20"/>
                <w:szCs w:val="20"/>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3,431,364</w:t>
            </w: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Less: Average goodwill and intangible</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assets</w:t>
            </w: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323,295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330,277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352,907</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92"/>
              <w:spacing w:after="0"/>
              <w:rPr>
                <w:sz w:val="20"/>
                <w:szCs w:val="20"/>
                <w:color w:val="auto"/>
              </w:rPr>
            </w:pPr>
            <w:r>
              <w:rPr>
                <w:rFonts w:ascii="Arial" w:cs="Arial" w:eastAsia="Arial" w:hAnsi="Arial"/>
                <w:sz w:val="10"/>
                <w:szCs w:val="10"/>
                <w:color w:val="auto"/>
              </w:rPr>
              <w:t>333,815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356,960</w:t>
            </w:r>
          </w:p>
        </w:tc>
      </w:tr>
      <w:tr>
        <w:trPr>
          <w:trHeight w:val="138"/>
        </w:trPr>
        <w:tc>
          <w:tcPr>
            <w:tcW w:w="3520" w:type="dxa"/>
            <w:vAlign w:val="bottom"/>
            <w:gridSpan w:val="2"/>
          </w:tcPr>
          <w:p>
            <w:pPr>
              <w:spacing w:after="0"/>
              <w:rPr>
                <w:sz w:val="20"/>
                <w:szCs w:val="20"/>
                <w:color w:val="auto"/>
              </w:rPr>
            </w:pPr>
            <w:r>
              <w:rPr>
                <w:rFonts w:ascii="Arial" w:cs="Arial" w:eastAsia="Arial" w:hAnsi="Arial"/>
                <w:sz w:val="10"/>
                <w:szCs w:val="10"/>
                <w:color w:val="auto"/>
              </w:rPr>
              <w:t>Less: Average preferred stock</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498,516</w:t>
            </w: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498,516</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498,516</w:t>
            </w:r>
          </w:p>
        </w:tc>
      </w:tr>
      <w:tr>
        <w:trPr>
          <w:trHeight w:val="127"/>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Average tangible common equity</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2,672,346</w:t>
            </w:r>
          </w:p>
        </w:tc>
        <w:tc>
          <w:tcPr>
            <w:tcW w:w="60" w:type="dxa"/>
            <w:vAlign w:val="bottom"/>
          </w:tcPr>
          <w:p>
            <w:pPr>
              <w:spacing w:after="0"/>
              <w:rPr>
                <w:sz w:val="11"/>
                <w:szCs w:val="11"/>
                <w:color w:val="auto"/>
              </w:rPr>
            </w:pP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2,608,542</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2,634,741</w:t>
            </w:r>
          </w:p>
        </w:tc>
        <w:tc>
          <w:tcPr>
            <w:tcW w:w="80" w:type="dxa"/>
            <w:vAlign w:val="bottom"/>
          </w:tcPr>
          <w:p>
            <w:pPr>
              <w:spacing w:after="0"/>
              <w:rPr>
                <w:sz w:val="11"/>
                <w:szCs w:val="11"/>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2,638,947</w:t>
            </w: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2,575,888</w:t>
            </w:r>
          </w:p>
        </w:tc>
      </w:tr>
      <w:tr>
        <w:trPr>
          <w:trHeight w:val="20"/>
        </w:trPr>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1"/>
        </w:trPr>
        <w:tc>
          <w:tcPr>
            <w:tcW w:w="3520" w:type="dxa"/>
            <w:vAlign w:val="bottom"/>
            <w:gridSpan w:val="2"/>
          </w:tcPr>
          <w:p>
            <w:pPr>
              <w:spacing w:after="0"/>
              <w:rPr>
                <w:sz w:val="20"/>
                <w:szCs w:val="20"/>
                <w:color w:val="auto"/>
              </w:rPr>
            </w:pPr>
            <w:r>
              <w:rPr>
                <w:rFonts w:ascii="Arial" w:cs="Arial" w:eastAsia="Arial" w:hAnsi="Arial"/>
                <w:sz w:val="10"/>
                <w:szCs w:val="10"/>
                <w:color w:val="auto"/>
              </w:rPr>
              <w:t>Adjusted ROATCE (2)</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10.75 %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9.87 %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7.35 %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9.05 %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6.23 %</w:t>
            </w:r>
          </w:p>
        </w:tc>
      </w:tr>
      <w:tr>
        <w:trPr>
          <w:trHeight w:val="215"/>
        </w:trPr>
        <w:tc>
          <w:tcPr>
            <w:tcW w:w="1740" w:type="dxa"/>
            <w:vAlign w:val="bottom"/>
          </w:tcPr>
          <w:p>
            <w:pPr>
              <w:spacing w:after="0"/>
              <w:rPr>
                <w:sz w:val="20"/>
                <w:szCs w:val="20"/>
                <w:color w:val="auto"/>
              </w:rPr>
            </w:pPr>
            <w:r>
              <w:rPr>
                <w:rFonts w:ascii="Arial" w:cs="Arial" w:eastAsia="Arial" w:hAnsi="Arial"/>
                <w:sz w:val="12"/>
                <w:szCs w:val="12"/>
                <w:color w:val="6D6D6D"/>
              </w:rPr>
              <w:t>______________</w:t>
            </w: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ind w:left="168" w:right="260" w:hanging="168"/>
        <w:spacing w:after="0" w:line="235" w:lineRule="auto"/>
        <w:tabs>
          <w:tab w:leader="none" w:pos="150" w:val="left"/>
        </w:tabs>
        <w:numPr>
          <w:ilvl w:val="0"/>
          <w:numId w:val="17"/>
        </w:numPr>
        <w:rPr>
          <w:rFonts w:ascii="Arial" w:cs="Arial" w:eastAsia="Arial" w:hAnsi="Arial"/>
          <w:sz w:val="10"/>
          <w:szCs w:val="10"/>
          <w:color w:val="6D6D6D"/>
        </w:rPr>
      </w:pPr>
      <w:r>
        <w:rPr>
          <w:rFonts w:ascii="Arial" w:cs="Arial" w:eastAsia="Arial" w:hAnsi="Arial"/>
          <w:sz w:val="10"/>
          <w:szCs w:val="10"/>
          <w:color w:val="6D6D6D"/>
        </w:rPr>
        <w:t>Effective tax rates of 26.86%, 27.34%, and 24.76% used for the three months ended December 31, 2025, September 30, 2025, and December 31, 2024, respectively. Effective tax rates of 26.86% and 24.76% used for the year ended December 31, 2025 and 2024.</w:t>
      </w:r>
    </w:p>
    <w:p>
      <w:pPr>
        <w:ind w:left="148" w:hanging="148"/>
        <w:spacing w:after="0"/>
        <w:tabs>
          <w:tab w:leader="none" w:pos="148" w:val="left"/>
        </w:tabs>
        <w:numPr>
          <w:ilvl w:val="0"/>
          <w:numId w:val="17"/>
        </w:numPr>
        <w:rPr>
          <w:rFonts w:ascii="Arial" w:cs="Arial" w:eastAsia="Arial" w:hAnsi="Arial"/>
          <w:sz w:val="10"/>
          <w:szCs w:val="10"/>
          <w:color w:val="6D6D6D"/>
        </w:rPr>
      </w:pPr>
      <w:r>
        <w:rPr>
          <w:rFonts w:ascii="Arial" w:cs="Arial" w:eastAsia="Arial" w:hAnsi="Arial"/>
          <w:sz w:val="10"/>
          <w:szCs w:val="10"/>
          <w:color w:val="6D6D6D"/>
        </w:rPr>
        <w:t>Annualized adjusted net earnings available to common and equivalent stockholders for adjusted ROATCE divided by average tangible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359410</wp:posOffset>
            </wp:positionV>
            <wp:extent cx="548640"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27</w:t>
      </w:r>
    </w:p>
    <w:p>
      <w:pPr>
        <w:sectPr>
          <w:pgSz w:w="11900" w:h="16838" w:orient="portrait"/>
          <w:cols w:equalWidth="0" w:num="1">
            <w:col w:w="11308"/>
          </w:cols>
          <w:pgMar w:left="292" w:top="1096" w:right="299" w:bottom="1440" w:gutter="0" w:footer="0" w:header="0"/>
        </w:sectPr>
      </w:pPr>
    </w:p>
    <w:bookmarkStart w:id="31" w:name="page32"/>
    <w:bookmarkEnd w:id="31"/>
    <w:p>
      <w:pPr>
        <w:ind w:left="8"/>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t>BANC OF CALIFORNIA, INC.</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NON-GAAP MEASURES</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(UNAUDITED)</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3520" w:type="dxa"/>
            <w:vAlign w:val="bottom"/>
            <w:gridSpan w:val="2"/>
          </w:tcPr>
          <w:p>
            <w:pPr>
              <w:spacing w:after="0"/>
              <w:rPr>
                <w:sz w:val="20"/>
                <w:szCs w:val="20"/>
                <w:color w:val="auto"/>
              </w:rPr>
            </w:pPr>
            <w:r>
              <w:rPr>
                <w:rFonts w:ascii="Arial" w:cs="Arial" w:eastAsia="Arial" w:hAnsi="Arial"/>
                <w:sz w:val="10"/>
                <w:szCs w:val="10"/>
                <w:b w:val="1"/>
                <w:bCs w:val="1"/>
                <w:color w:val="auto"/>
              </w:rPr>
              <w:t>Adjusted Net Earnings, Net Earnings</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7"/>
              </w:rPr>
              <w:t>Three Months Ended</w:t>
            </w: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3"/>
          </w:tcPr>
          <w:p>
            <w:pPr>
              <w:jc w:val="right"/>
              <w:ind w:right="192"/>
              <w:spacing w:after="0"/>
              <w:rPr>
                <w:sz w:val="20"/>
                <w:szCs w:val="20"/>
                <w:color w:val="auto"/>
              </w:rPr>
            </w:pPr>
            <w:r>
              <w:rPr>
                <w:rFonts w:ascii="Arial" w:cs="Arial" w:eastAsia="Arial" w:hAnsi="Arial"/>
                <w:sz w:val="10"/>
                <w:szCs w:val="10"/>
                <w:b w:val="1"/>
                <w:bCs w:val="1"/>
                <w:color w:val="auto"/>
              </w:rPr>
              <w:t>Year Ended</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520" w:type="dxa"/>
            <w:vAlign w:val="bottom"/>
            <w:gridSpan w:val="2"/>
          </w:tcPr>
          <w:p>
            <w:pPr>
              <w:spacing w:after="0"/>
              <w:rPr>
                <w:sz w:val="20"/>
                <w:szCs w:val="20"/>
                <w:color w:val="auto"/>
              </w:rPr>
            </w:pPr>
            <w:r>
              <w:rPr>
                <w:rFonts w:ascii="Arial" w:cs="Arial" w:eastAsia="Arial" w:hAnsi="Arial"/>
                <w:sz w:val="10"/>
                <w:szCs w:val="10"/>
                <w:b w:val="1"/>
                <w:bCs w:val="1"/>
                <w:color w:val="auto"/>
              </w:rPr>
              <w:t>Available to Common and Equivalent</w:t>
            </w:r>
          </w:p>
        </w:tc>
        <w:tc>
          <w:tcPr>
            <w:tcW w:w="26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10"/>
                <w:szCs w:val="1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September 30,</w:t>
            </w:r>
          </w:p>
        </w:tc>
        <w:tc>
          <w:tcPr>
            <w:tcW w:w="160" w:type="dxa"/>
            <w:vAlign w:val="bottom"/>
          </w:tcPr>
          <w:p>
            <w:pPr>
              <w:spacing w:after="0"/>
              <w:rPr>
                <w:sz w:val="10"/>
                <w:szCs w:val="1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3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52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Stockholders, Diluted EPS, and ROAA</w:t>
            </w:r>
          </w:p>
        </w:tc>
        <w:tc>
          <w:tcPr>
            <w:tcW w:w="260" w:type="dxa"/>
            <w:vAlign w:val="bottom"/>
          </w:tcPr>
          <w:p>
            <w:pPr>
              <w:spacing w:after="0"/>
              <w:rPr>
                <w:sz w:val="8"/>
                <w:szCs w:val="8"/>
                <w:color w:val="auto"/>
              </w:rPr>
            </w:pPr>
          </w:p>
        </w:tc>
        <w:tc>
          <w:tcPr>
            <w:tcW w:w="12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9"/>
              </w:rPr>
              <w:t>2025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98"/>
              </w:rPr>
              <w:t>2024</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jc w:val="right"/>
              <w:ind w:right="592"/>
              <w:spacing w:after="0" w:line="99" w:lineRule="exact"/>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20"/>
        </w:trPr>
        <w:tc>
          <w:tcPr>
            <w:tcW w:w="174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7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i w:val="1"/>
                <w:iCs w:val="1"/>
                <w:color w:val="auto"/>
                <w:w w:val="96"/>
              </w:rPr>
              <w:t>(Dollars in thousands)</w:t>
            </w: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520" w:type="dxa"/>
            <w:vAlign w:val="bottom"/>
            <w:gridSpan w:val="2"/>
          </w:tcPr>
          <w:p>
            <w:pPr>
              <w:spacing w:after="0"/>
              <w:rPr>
                <w:sz w:val="20"/>
                <w:szCs w:val="20"/>
                <w:color w:val="auto"/>
              </w:rPr>
            </w:pPr>
            <w:r>
              <w:rPr>
                <w:rFonts w:ascii="Arial" w:cs="Arial" w:eastAsia="Arial" w:hAnsi="Arial"/>
                <w:sz w:val="10"/>
                <w:szCs w:val="10"/>
                <w:color w:val="auto"/>
              </w:rPr>
              <w:t>Net earnings</w:t>
            </w: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77,391</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69,629</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56,919</w:t>
            </w:r>
          </w:p>
        </w:tc>
        <w:tc>
          <w:tcPr>
            <w:tcW w:w="60" w:type="dxa"/>
            <w:vAlign w:val="bottom"/>
          </w:tcPr>
          <w:p>
            <w:pPr>
              <w:spacing w:after="0"/>
              <w:rPr>
                <w:sz w:val="11"/>
                <w:szCs w:val="11"/>
                <w:color w:val="auto"/>
              </w:rPr>
            </w:pPr>
          </w:p>
        </w:tc>
        <w:tc>
          <w:tcPr>
            <w:tcW w:w="3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228,973</w:t>
            </w:r>
          </w:p>
        </w:tc>
        <w:tc>
          <w:tcPr>
            <w:tcW w:w="80" w:type="dxa"/>
            <w:vAlign w:val="bottom"/>
          </w:tcPr>
          <w:p>
            <w:pPr>
              <w:spacing w:after="0"/>
              <w:rPr>
                <w:sz w:val="11"/>
                <w:szCs w:val="11"/>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126,888</w:t>
            </w:r>
          </w:p>
        </w:tc>
        <w:tc>
          <w:tcPr>
            <w:tcW w:w="0" w:type="dxa"/>
            <w:vAlign w:val="bottom"/>
          </w:tcPr>
          <w:p>
            <w:pPr>
              <w:spacing w:after="0"/>
              <w:rPr>
                <w:sz w:val="1"/>
                <w:szCs w:val="1"/>
                <w:color w:val="auto"/>
              </w:rPr>
            </w:pPr>
          </w:p>
        </w:tc>
      </w:tr>
      <w:tr>
        <w:trPr>
          <w:trHeight w:val="256"/>
        </w:trPr>
        <w:tc>
          <w:tcPr>
            <w:tcW w:w="3520" w:type="dxa"/>
            <w:vAlign w:val="bottom"/>
            <w:gridSpan w:val="2"/>
          </w:tcPr>
          <w:p>
            <w:pPr>
              <w:spacing w:after="0"/>
              <w:rPr>
                <w:sz w:val="20"/>
                <w:szCs w:val="20"/>
                <w:color w:val="auto"/>
              </w:rPr>
            </w:pPr>
            <w:r>
              <w:rPr>
                <w:rFonts w:ascii="Arial" w:cs="Arial" w:eastAsia="Arial" w:hAnsi="Arial"/>
                <w:sz w:val="10"/>
                <w:szCs w:val="10"/>
                <w:color w:val="auto"/>
              </w:rPr>
              <w:t>Earnings before income taxes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70,103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168,654</w:t>
            </w:r>
          </w:p>
        </w:tc>
        <w:tc>
          <w:tcPr>
            <w:tcW w:w="0" w:type="dxa"/>
            <w:vAlign w:val="bottom"/>
          </w:tcPr>
          <w:p>
            <w:pPr>
              <w:spacing w:after="0"/>
              <w:rPr>
                <w:sz w:val="1"/>
                <w:szCs w:val="1"/>
                <w:color w:val="auto"/>
              </w:rPr>
            </w:pP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Add: FDIC special assessment</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4,814</w:t>
            </w:r>
          </w:p>
        </w:tc>
        <w:tc>
          <w:tcPr>
            <w:tcW w:w="0" w:type="dxa"/>
            <w:vAlign w:val="bottom"/>
          </w:tcPr>
          <w:p>
            <w:pPr>
              <w:spacing w:after="0"/>
              <w:rPr>
                <w:sz w:val="1"/>
                <w:szCs w:val="1"/>
                <w:color w:val="auto"/>
              </w:rPr>
            </w:pP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Add: Loss on sale of securities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ind w:left="1180"/>
              <w:spacing w:after="0"/>
              <w:rPr>
                <w:sz w:val="20"/>
                <w:szCs w:val="20"/>
                <w:color w:val="auto"/>
              </w:rPr>
            </w:pPr>
            <w:r>
              <w:rPr>
                <w:rFonts w:ascii="Arial" w:cs="Arial" w:eastAsia="Arial" w:hAnsi="Arial"/>
                <w:sz w:val="10"/>
                <w:szCs w:val="10"/>
                <w:color w:val="auto"/>
              </w:rPr>
              <w:t>NA</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59,946</w:t>
            </w:r>
          </w:p>
        </w:tc>
        <w:tc>
          <w:tcPr>
            <w:tcW w:w="0" w:type="dxa"/>
            <w:vAlign w:val="bottom"/>
          </w:tcPr>
          <w:p>
            <w:pPr>
              <w:spacing w:after="0"/>
              <w:rPr>
                <w:sz w:val="1"/>
                <w:szCs w:val="1"/>
                <w:color w:val="auto"/>
              </w:rPr>
            </w:pP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Less: Acquisition, integration, and</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reorganization costs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ind w:left="1180"/>
              <w:spacing w:after="0"/>
              <w:rPr>
                <w:sz w:val="20"/>
                <w:szCs w:val="20"/>
                <w:color w:val="auto"/>
              </w:rPr>
            </w:pPr>
            <w:r>
              <w:rPr>
                <w:rFonts w:ascii="Arial" w:cs="Arial" w:eastAsia="Arial" w:hAnsi="Arial"/>
                <w:sz w:val="10"/>
                <w:szCs w:val="10"/>
                <w:color w:val="auto"/>
              </w:rPr>
              <w:t>NA</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(510)</w:t>
            </w:r>
          </w:p>
        </w:tc>
        <w:tc>
          <w:tcPr>
            <w:tcW w:w="0" w:type="dxa"/>
            <w:vAlign w:val="bottom"/>
          </w:tcPr>
          <w:p>
            <w:pPr>
              <w:spacing w:after="0"/>
              <w:rPr>
                <w:sz w:val="1"/>
                <w:szCs w:val="1"/>
                <w:color w:val="auto"/>
              </w:rPr>
            </w:pPr>
          </w:p>
        </w:tc>
      </w:tr>
      <w:tr>
        <w:trPr>
          <w:trHeight w:val="124"/>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Adjusted earnings before income taxes</w:t>
            </w: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rPr>
              <w:t>70,103</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232,904</w:t>
            </w:r>
          </w:p>
        </w:tc>
        <w:tc>
          <w:tcPr>
            <w:tcW w:w="0" w:type="dxa"/>
            <w:vAlign w:val="bottom"/>
          </w:tcPr>
          <w:p>
            <w:pPr>
              <w:spacing w:after="0"/>
              <w:rPr>
                <w:sz w:val="1"/>
                <w:szCs w:val="1"/>
                <w:color w:val="auto"/>
              </w:rPr>
            </w:pP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Adjusted income tax expense (1)</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(13,184)</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(57,667)</w:t>
            </w:r>
          </w:p>
        </w:tc>
        <w:tc>
          <w:tcPr>
            <w:tcW w:w="0" w:type="dxa"/>
            <w:vAlign w:val="bottom"/>
          </w:tcPr>
          <w:p>
            <w:pPr>
              <w:spacing w:after="0"/>
              <w:rPr>
                <w:sz w:val="1"/>
                <w:szCs w:val="1"/>
                <w:color w:val="auto"/>
              </w:rPr>
            </w:pPr>
          </w:p>
        </w:tc>
      </w:tr>
      <w:tr>
        <w:trPr>
          <w:trHeight w:val="259"/>
        </w:trPr>
        <w:tc>
          <w:tcPr>
            <w:tcW w:w="3520" w:type="dxa"/>
            <w:vAlign w:val="bottom"/>
            <w:gridSpan w:val="2"/>
          </w:tcPr>
          <w:p>
            <w:pPr>
              <w:spacing w:after="0"/>
              <w:rPr>
                <w:sz w:val="20"/>
                <w:szCs w:val="20"/>
                <w:color w:val="auto"/>
              </w:rPr>
            </w:pPr>
            <w:r>
              <w:rPr>
                <w:rFonts w:ascii="Arial" w:cs="Arial" w:eastAsia="Arial" w:hAnsi="Arial"/>
                <w:sz w:val="10"/>
                <w:szCs w:val="10"/>
                <w:color w:val="auto"/>
              </w:rPr>
              <w:t>Adjustments: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Provision for credit losses related to</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2"/>
          </w:tcPr>
          <w:p>
            <w:pPr>
              <w:ind w:left="140"/>
              <w:spacing w:after="0"/>
              <w:rPr>
                <w:sz w:val="20"/>
                <w:szCs w:val="20"/>
                <w:color w:val="auto"/>
              </w:rPr>
            </w:pPr>
            <w:r>
              <w:rPr>
                <w:rFonts w:ascii="Arial" w:cs="Arial" w:eastAsia="Arial" w:hAnsi="Arial"/>
                <w:sz w:val="10"/>
                <w:szCs w:val="10"/>
                <w:color w:val="auto"/>
              </w:rPr>
              <w:t>transfer of loans to held for sale</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26,289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Tax impact of adjustments above (1)</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(7,061)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Income tax related adjustments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9,792</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520" w:type="dxa"/>
            <w:vAlign w:val="bottom"/>
            <w:gridSpan w:val="2"/>
          </w:tcPr>
          <w:p>
            <w:pPr>
              <w:ind w:left="140"/>
              <w:spacing w:after="0"/>
              <w:rPr>
                <w:sz w:val="20"/>
                <w:szCs w:val="20"/>
                <w:color w:val="auto"/>
              </w:rPr>
            </w:pPr>
            <w:r>
              <w:rPr>
                <w:rFonts w:ascii="Arial" w:cs="Arial" w:eastAsia="Arial" w:hAnsi="Arial"/>
                <w:sz w:val="10"/>
                <w:szCs w:val="10"/>
                <w:color w:val="auto"/>
              </w:rPr>
              <w:t>Adjustments to net earnings</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29,020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520" w:type="dxa"/>
            <w:vAlign w:val="bottom"/>
            <w:gridSpan w:val="2"/>
          </w:tcPr>
          <w:p>
            <w:pPr>
              <w:spacing w:after="0"/>
              <w:rPr>
                <w:sz w:val="20"/>
                <w:szCs w:val="20"/>
                <w:color w:val="auto"/>
              </w:rPr>
            </w:pPr>
            <w:r>
              <w:rPr>
                <w:rFonts w:ascii="Arial" w:cs="Arial" w:eastAsia="Arial" w:hAnsi="Arial"/>
                <w:sz w:val="10"/>
                <w:szCs w:val="10"/>
                <w:color w:val="auto"/>
              </w:rPr>
              <w:t>Adjusted net earnings</w:t>
            </w:r>
          </w:p>
        </w:tc>
        <w:tc>
          <w:tcPr>
            <w:tcW w:w="260" w:type="dxa"/>
            <w:vAlign w:val="bottom"/>
          </w:tcPr>
          <w:p>
            <w:pPr>
              <w:spacing w:after="0"/>
              <w:rPr>
                <w:sz w:val="22"/>
                <w:szCs w:val="22"/>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77,391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69,629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56,919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257,993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175,237</w:t>
            </w:r>
          </w:p>
        </w:tc>
        <w:tc>
          <w:tcPr>
            <w:tcW w:w="0" w:type="dxa"/>
            <w:vAlign w:val="bottom"/>
          </w:tcPr>
          <w:p>
            <w:pPr>
              <w:spacing w:after="0"/>
              <w:rPr>
                <w:sz w:val="1"/>
                <w:szCs w:val="1"/>
                <w:color w:val="auto"/>
              </w:rPr>
            </w:pP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Less: Preferred stock dividends</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9,947</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9,947</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9,947</w:t>
            </w: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39,788</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39,788</w:t>
            </w:r>
          </w:p>
        </w:tc>
        <w:tc>
          <w:tcPr>
            <w:tcW w:w="0" w:type="dxa"/>
            <w:vAlign w:val="bottom"/>
          </w:tcPr>
          <w:p>
            <w:pPr>
              <w:spacing w:after="0"/>
              <w:rPr>
                <w:sz w:val="1"/>
                <w:szCs w:val="1"/>
                <w:color w:val="auto"/>
              </w:rPr>
            </w:pPr>
          </w:p>
        </w:tc>
      </w:tr>
      <w:tr>
        <w:trPr>
          <w:trHeight w:val="11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Adjusted net earnings available to</w:t>
            </w:r>
          </w:p>
        </w:tc>
        <w:tc>
          <w:tcPr>
            <w:tcW w:w="260" w:type="dxa"/>
            <w:vAlign w:val="bottom"/>
            <w:vMerge w:val="restart"/>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vMerge w:val="restart"/>
          </w:tcPr>
          <w:p>
            <w:pPr>
              <w:jc w:val="right"/>
              <w:ind w:right="72"/>
              <w:spacing w:after="0"/>
              <w:rPr>
                <w:sz w:val="20"/>
                <w:szCs w:val="20"/>
                <w:color w:val="auto"/>
              </w:rPr>
            </w:pPr>
            <w:r>
              <w:rPr>
                <w:rFonts w:ascii="Arial" w:cs="Arial" w:eastAsia="Arial" w:hAnsi="Arial"/>
                <w:sz w:val="10"/>
                <w:szCs w:val="10"/>
                <w:color w:val="auto"/>
              </w:rPr>
              <w:t>67,444</w:t>
            </w:r>
          </w:p>
        </w:tc>
        <w:tc>
          <w:tcPr>
            <w:tcW w:w="80" w:type="dxa"/>
            <w:vAlign w:val="bottom"/>
          </w:tcPr>
          <w:p>
            <w:pPr>
              <w:spacing w:after="0"/>
              <w:rPr>
                <w:sz w:val="10"/>
                <w:szCs w:val="10"/>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vMerge w:val="restart"/>
          </w:tcPr>
          <w:p>
            <w:pPr>
              <w:jc w:val="right"/>
              <w:ind w:right="72"/>
              <w:spacing w:after="0"/>
              <w:rPr>
                <w:sz w:val="20"/>
                <w:szCs w:val="20"/>
                <w:color w:val="auto"/>
              </w:rPr>
            </w:pPr>
            <w:r>
              <w:rPr>
                <w:rFonts w:ascii="Arial" w:cs="Arial" w:eastAsia="Arial" w:hAnsi="Arial"/>
                <w:sz w:val="10"/>
                <w:szCs w:val="10"/>
                <w:color w:val="auto"/>
              </w:rPr>
              <w:t>59,682</w:t>
            </w:r>
          </w:p>
        </w:tc>
        <w:tc>
          <w:tcPr>
            <w:tcW w:w="80" w:type="dxa"/>
            <w:vAlign w:val="bottom"/>
          </w:tcPr>
          <w:p>
            <w:pPr>
              <w:spacing w:after="0"/>
              <w:rPr>
                <w:sz w:val="10"/>
                <w:szCs w:val="10"/>
                <w:color w:val="auto"/>
              </w:rPr>
            </w:pP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vMerge w:val="restart"/>
          </w:tcPr>
          <w:p>
            <w:pPr>
              <w:jc w:val="right"/>
              <w:ind w:right="92"/>
              <w:spacing w:after="0"/>
              <w:rPr>
                <w:sz w:val="20"/>
                <w:szCs w:val="20"/>
                <w:color w:val="auto"/>
              </w:rPr>
            </w:pPr>
            <w:r>
              <w:rPr>
                <w:rFonts w:ascii="Arial" w:cs="Arial" w:eastAsia="Arial" w:hAnsi="Arial"/>
                <w:sz w:val="10"/>
                <w:szCs w:val="10"/>
                <w:color w:val="auto"/>
              </w:rPr>
              <w:t>46,972</w:t>
            </w:r>
          </w:p>
        </w:tc>
        <w:tc>
          <w:tcPr>
            <w:tcW w:w="60" w:type="dxa"/>
            <w:vAlign w:val="bottom"/>
          </w:tcPr>
          <w:p>
            <w:pPr>
              <w:spacing w:after="0"/>
              <w:rPr>
                <w:sz w:val="10"/>
                <w:szCs w:val="10"/>
                <w:color w:val="auto"/>
              </w:rPr>
            </w:pPr>
          </w:p>
        </w:tc>
        <w:tc>
          <w:tcPr>
            <w:tcW w:w="360" w:type="dxa"/>
            <w:vAlign w:val="bottom"/>
            <w:vMerge w:val="restart"/>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vMerge w:val="restart"/>
          </w:tcPr>
          <w:p>
            <w:pPr>
              <w:jc w:val="right"/>
              <w:ind w:right="72"/>
              <w:spacing w:after="0"/>
              <w:rPr>
                <w:sz w:val="20"/>
                <w:szCs w:val="20"/>
                <w:color w:val="auto"/>
              </w:rPr>
            </w:pPr>
            <w:r>
              <w:rPr>
                <w:rFonts w:ascii="Arial" w:cs="Arial" w:eastAsia="Arial" w:hAnsi="Arial"/>
                <w:sz w:val="10"/>
                <w:szCs w:val="10"/>
                <w:color w:val="auto"/>
              </w:rPr>
              <w:t>218,205</w:t>
            </w:r>
          </w:p>
        </w:tc>
        <w:tc>
          <w:tcPr>
            <w:tcW w:w="80" w:type="dxa"/>
            <w:vAlign w:val="bottom"/>
          </w:tcPr>
          <w:p>
            <w:pPr>
              <w:spacing w:after="0"/>
              <w:rPr>
                <w:sz w:val="10"/>
                <w:szCs w:val="10"/>
                <w:color w:val="auto"/>
              </w:rPr>
            </w:pPr>
          </w:p>
        </w:tc>
        <w:tc>
          <w:tcPr>
            <w:tcW w:w="460" w:type="dxa"/>
            <w:vAlign w:val="bottom"/>
            <w:vMerge w:val="restart"/>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vMerge w:val="restart"/>
          </w:tcPr>
          <w:p>
            <w:pPr>
              <w:jc w:val="right"/>
              <w:ind w:right="72"/>
              <w:spacing w:after="0"/>
              <w:rPr>
                <w:sz w:val="20"/>
                <w:szCs w:val="20"/>
                <w:color w:val="auto"/>
              </w:rPr>
            </w:pPr>
            <w:r>
              <w:rPr>
                <w:rFonts w:ascii="Arial" w:cs="Arial" w:eastAsia="Arial" w:hAnsi="Arial"/>
                <w:sz w:val="10"/>
                <w:szCs w:val="10"/>
                <w:color w:val="auto"/>
              </w:rPr>
              <w:t>135,449</w:t>
            </w:r>
          </w:p>
        </w:tc>
        <w:tc>
          <w:tcPr>
            <w:tcW w:w="0" w:type="dxa"/>
            <w:vAlign w:val="bottom"/>
          </w:tcPr>
          <w:p>
            <w:pPr>
              <w:spacing w:after="0"/>
              <w:rPr>
                <w:sz w:val="1"/>
                <w:szCs w:val="1"/>
                <w:color w:val="auto"/>
              </w:rPr>
            </w:pPr>
          </w:p>
        </w:tc>
      </w:tr>
      <w:tr>
        <w:trPr>
          <w:trHeight w:val="146"/>
        </w:trPr>
        <w:tc>
          <w:tcPr>
            <w:tcW w:w="3520" w:type="dxa"/>
            <w:vAlign w:val="bottom"/>
            <w:gridSpan w:val="2"/>
          </w:tcPr>
          <w:p>
            <w:pPr>
              <w:ind w:left="140"/>
              <w:spacing w:after="0"/>
              <w:rPr>
                <w:sz w:val="20"/>
                <w:szCs w:val="20"/>
                <w:color w:val="auto"/>
              </w:rPr>
            </w:pPr>
            <w:r>
              <w:rPr>
                <w:rFonts w:ascii="Arial" w:cs="Arial" w:eastAsia="Arial" w:hAnsi="Arial"/>
                <w:sz w:val="10"/>
                <w:szCs w:val="10"/>
                <w:color w:val="auto"/>
              </w:rPr>
              <w:t>common and equivalent stockholders</w:t>
            </w:r>
          </w:p>
        </w:tc>
        <w:tc>
          <w:tcPr>
            <w:tcW w:w="26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0"/>
                <w:szCs w:val="10"/>
                <w:color w:val="auto"/>
              </w:rPr>
              <w:t>Weighted average diluted common shares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5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outstanding</w:t>
            </w:r>
          </w:p>
        </w:tc>
        <w:tc>
          <w:tcPr>
            <w:tcW w:w="2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160,094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159,051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169,732</w:t>
            </w:r>
          </w:p>
        </w:tc>
        <w:tc>
          <w:tcPr>
            <w:tcW w:w="60" w:type="dxa"/>
            <w:vAlign w:val="bottom"/>
          </w:tcPr>
          <w:p>
            <w:pPr>
              <w:spacing w:after="0"/>
              <w:rPr>
                <w:sz w:val="11"/>
                <w:szCs w:val="11"/>
                <w:color w:val="auto"/>
              </w:rPr>
            </w:pPr>
          </w:p>
        </w:tc>
        <w:tc>
          <w:tcPr>
            <w:tcW w:w="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161,724</w:t>
            </w:r>
          </w:p>
        </w:tc>
        <w:tc>
          <w:tcPr>
            <w:tcW w:w="8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168,684</w:t>
            </w:r>
          </w:p>
        </w:tc>
        <w:tc>
          <w:tcPr>
            <w:tcW w:w="0" w:type="dxa"/>
            <w:vAlign w:val="bottom"/>
          </w:tcPr>
          <w:p>
            <w:pPr>
              <w:spacing w:after="0"/>
              <w:rPr>
                <w:sz w:val="1"/>
                <w:szCs w:val="1"/>
                <w:color w:val="auto"/>
              </w:rPr>
            </w:pP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Diluted earnings per common share</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0.42</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0.38</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0.28</w:t>
            </w:r>
          </w:p>
        </w:tc>
        <w:tc>
          <w:tcPr>
            <w:tcW w:w="60" w:type="dxa"/>
            <w:vAlign w:val="bottom"/>
          </w:tcPr>
          <w:p>
            <w:pPr>
              <w:spacing w:after="0"/>
              <w:rPr>
                <w:sz w:val="11"/>
                <w:szCs w:val="11"/>
                <w:color w:val="auto"/>
              </w:rPr>
            </w:pPr>
          </w:p>
        </w:tc>
        <w:tc>
          <w:tcPr>
            <w:tcW w:w="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1.17</w:t>
            </w:r>
          </w:p>
        </w:tc>
        <w:tc>
          <w:tcPr>
            <w:tcW w:w="8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0.52</w:t>
            </w:r>
          </w:p>
        </w:tc>
        <w:tc>
          <w:tcPr>
            <w:tcW w:w="0" w:type="dxa"/>
            <w:vAlign w:val="bottom"/>
          </w:tcPr>
          <w:p>
            <w:pPr>
              <w:spacing w:after="0"/>
              <w:rPr>
                <w:sz w:val="1"/>
                <w:szCs w:val="1"/>
                <w:color w:val="auto"/>
              </w:rPr>
            </w:pP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Adjusted diluted earnings per common</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2"/>
          </w:tcPr>
          <w:p>
            <w:pPr>
              <w:ind w:left="80"/>
              <w:spacing w:after="0"/>
              <w:rPr>
                <w:sz w:val="20"/>
                <w:szCs w:val="20"/>
                <w:color w:val="auto"/>
              </w:rPr>
            </w:pPr>
            <w:r>
              <w:rPr>
                <w:rFonts w:ascii="Arial" w:cs="Arial" w:eastAsia="Arial" w:hAnsi="Arial"/>
                <w:sz w:val="10"/>
                <w:szCs w:val="10"/>
                <w:color w:val="auto"/>
              </w:rPr>
              <w:t>share (2)</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0.42</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0.38</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0.28</w:t>
            </w:r>
          </w:p>
        </w:tc>
        <w:tc>
          <w:tcPr>
            <w:tcW w:w="60" w:type="dxa"/>
            <w:vAlign w:val="bottom"/>
          </w:tcPr>
          <w:p>
            <w:pPr>
              <w:spacing w:after="0"/>
              <w:rPr>
                <w:sz w:val="11"/>
                <w:szCs w:val="11"/>
                <w:color w:val="auto"/>
              </w:rPr>
            </w:pPr>
          </w:p>
        </w:tc>
        <w:tc>
          <w:tcPr>
            <w:tcW w:w="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1.35</w:t>
            </w:r>
          </w:p>
        </w:tc>
        <w:tc>
          <w:tcPr>
            <w:tcW w:w="8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0.80</w:t>
            </w:r>
          </w:p>
        </w:tc>
        <w:tc>
          <w:tcPr>
            <w:tcW w:w="0" w:type="dxa"/>
            <w:vAlign w:val="bottom"/>
          </w:tcPr>
          <w:p>
            <w:pPr>
              <w:spacing w:after="0"/>
              <w:rPr>
                <w:sz w:val="1"/>
                <w:szCs w:val="1"/>
                <w:color w:val="auto"/>
              </w:rPr>
            </w:pPr>
          </w:p>
        </w:tc>
      </w:tr>
      <w:tr>
        <w:trPr>
          <w:trHeight w:val="279"/>
        </w:trPr>
        <w:tc>
          <w:tcPr>
            <w:tcW w:w="3520" w:type="dxa"/>
            <w:vAlign w:val="bottom"/>
            <w:gridSpan w:val="2"/>
          </w:tcPr>
          <w:p>
            <w:pPr>
              <w:spacing w:after="0"/>
              <w:rPr>
                <w:sz w:val="20"/>
                <w:szCs w:val="20"/>
                <w:color w:val="auto"/>
              </w:rPr>
            </w:pPr>
            <w:r>
              <w:rPr>
                <w:rFonts w:ascii="Arial" w:cs="Arial" w:eastAsia="Arial" w:hAnsi="Arial"/>
                <w:sz w:val="10"/>
                <w:szCs w:val="10"/>
                <w:color w:val="auto"/>
              </w:rPr>
              <w:t>Average total assets</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33,752,500</w:t>
            </w:r>
          </w:p>
        </w:tc>
        <w:tc>
          <w:tcPr>
            <w:tcW w:w="80" w:type="dxa"/>
            <w:vAlign w:val="bottom"/>
          </w:tcPr>
          <w:p>
            <w:pPr>
              <w:spacing w:after="0"/>
              <w:rPr>
                <w:sz w:val="24"/>
                <w:szCs w:val="2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33,831,217</w:t>
            </w:r>
          </w:p>
        </w:tc>
        <w:tc>
          <w:tcPr>
            <w:tcW w:w="80" w:type="dxa"/>
            <w:vAlign w:val="bottom"/>
          </w:tcPr>
          <w:p>
            <w:pPr>
              <w:spacing w:after="0"/>
              <w:rPr>
                <w:sz w:val="24"/>
                <w:szCs w:val="2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ind w:right="92"/>
              <w:spacing w:after="0"/>
              <w:rPr>
                <w:sz w:val="20"/>
                <w:szCs w:val="20"/>
                <w:color w:val="auto"/>
              </w:rPr>
            </w:pPr>
            <w:r>
              <w:rPr>
                <w:rFonts w:ascii="Arial" w:cs="Arial" w:eastAsia="Arial" w:hAnsi="Arial"/>
                <w:sz w:val="10"/>
                <w:szCs w:val="10"/>
                <w:color w:val="auto"/>
              </w:rPr>
              <w:t>33,562,028</w:t>
            </w:r>
          </w:p>
        </w:tc>
        <w:tc>
          <w:tcPr>
            <w:tcW w:w="60" w:type="dxa"/>
            <w:vAlign w:val="bottom"/>
          </w:tcPr>
          <w:p>
            <w:pPr>
              <w:spacing w:after="0"/>
              <w:rPr>
                <w:sz w:val="24"/>
                <w:szCs w:val="24"/>
                <w:color w:val="auto"/>
              </w:rPr>
            </w:pPr>
          </w:p>
        </w:tc>
        <w:tc>
          <w:tcPr>
            <w:tcW w:w="3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72"/>
              <w:spacing w:after="0"/>
              <w:rPr>
                <w:sz w:val="20"/>
                <w:szCs w:val="20"/>
                <w:color w:val="auto"/>
              </w:rPr>
            </w:pPr>
            <w:r>
              <w:rPr>
                <w:rFonts w:ascii="Arial" w:cs="Arial" w:eastAsia="Arial" w:hAnsi="Arial"/>
                <w:sz w:val="10"/>
                <w:szCs w:val="10"/>
                <w:color w:val="auto"/>
              </w:rPr>
              <w:t>33,665,738</w:t>
            </w:r>
          </w:p>
        </w:tc>
        <w:tc>
          <w:tcPr>
            <w:tcW w:w="80" w:type="dxa"/>
            <w:vAlign w:val="bottom"/>
          </w:tcPr>
          <w:p>
            <w:pPr>
              <w:spacing w:after="0"/>
              <w:rPr>
                <w:sz w:val="24"/>
                <w:szCs w:val="24"/>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35,333,488</w:t>
            </w:r>
          </w:p>
        </w:tc>
        <w:tc>
          <w:tcPr>
            <w:tcW w:w="0" w:type="dxa"/>
            <w:vAlign w:val="bottom"/>
          </w:tcPr>
          <w:p>
            <w:pPr>
              <w:spacing w:after="0"/>
              <w:rPr>
                <w:sz w:val="1"/>
                <w:szCs w:val="1"/>
                <w:color w:val="auto"/>
              </w:rPr>
            </w:pP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Return on average assets ("ROAA") (3)</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0.91 %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0.82 %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0.67 %</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0.68 %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0.36 %</w:t>
            </w:r>
          </w:p>
        </w:tc>
        <w:tc>
          <w:tcPr>
            <w:tcW w:w="0" w:type="dxa"/>
            <w:vAlign w:val="bottom"/>
          </w:tcPr>
          <w:p>
            <w:pPr>
              <w:spacing w:after="0"/>
              <w:rPr>
                <w:sz w:val="1"/>
                <w:szCs w:val="1"/>
                <w:color w:val="auto"/>
              </w:rPr>
            </w:pPr>
          </w:p>
        </w:tc>
      </w:tr>
      <w:tr>
        <w:trPr>
          <w:trHeight w:val="135"/>
        </w:trPr>
        <w:tc>
          <w:tcPr>
            <w:tcW w:w="3520" w:type="dxa"/>
            <w:vAlign w:val="bottom"/>
            <w:gridSpan w:val="2"/>
          </w:tcPr>
          <w:p>
            <w:pPr>
              <w:spacing w:after="0"/>
              <w:rPr>
                <w:sz w:val="20"/>
                <w:szCs w:val="20"/>
                <w:color w:val="auto"/>
              </w:rPr>
            </w:pPr>
            <w:r>
              <w:rPr>
                <w:rFonts w:ascii="Arial" w:cs="Arial" w:eastAsia="Arial" w:hAnsi="Arial"/>
                <w:sz w:val="10"/>
                <w:szCs w:val="10"/>
                <w:color w:val="auto"/>
              </w:rPr>
              <w:t>Adjusted ROAA (4)</w:t>
            </w: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0.91 %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0.82 %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0.67 %</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0.77 %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0.50 %</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6D6D6D"/>
        </w:rPr>
        <w:t>______________</w:t>
      </w:r>
    </w:p>
    <w:p>
      <w:pPr>
        <w:spacing w:after="0" w:line="21" w:lineRule="exact"/>
        <w:rPr>
          <w:sz w:val="20"/>
          <w:szCs w:val="20"/>
          <w:color w:val="auto"/>
        </w:rPr>
      </w:pPr>
    </w:p>
    <w:p>
      <w:pPr>
        <w:ind w:left="168" w:right="260" w:hanging="168"/>
        <w:spacing w:after="0" w:line="235" w:lineRule="auto"/>
        <w:tabs>
          <w:tab w:leader="none" w:pos="150" w:val="left"/>
        </w:tabs>
        <w:numPr>
          <w:ilvl w:val="0"/>
          <w:numId w:val="18"/>
        </w:numPr>
        <w:rPr>
          <w:rFonts w:ascii="Arial" w:cs="Arial" w:eastAsia="Arial" w:hAnsi="Arial"/>
          <w:sz w:val="10"/>
          <w:szCs w:val="10"/>
          <w:color w:val="6D6D6D"/>
        </w:rPr>
      </w:pPr>
      <w:r>
        <w:rPr>
          <w:rFonts w:ascii="Arial" w:cs="Arial" w:eastAsia="Arial" w:hAnsi="Arial"/>
          <w:sz w:val="10"/>
          <w:szCs w:val="10"/>
          <w:color w:val="6D6D6D"/>
        </w:rPr>
        <w:t>Effective tax rates of 26.86%, 27.34%, and 24.76% used for the three months ended December 31, 2025, September 30, 2025, and December 31, 2024, respectively. Effective tax rates of 26.86% and 24.76% used for the year ended December 31, 2025 and 2024.</w:t>
      </w:r>
    </w:p>
    <w:p>
      <w:pPr>
        <w:ind w:left="148" w:hanging="148"/>
        <w:spacing w:after="0"/>
        <w:tabs>
          <w:tab w:leader="none" w:pos="148" w:val="left"/>
        </w:tabs>
        <w:numPr>
          <w:ilvl w:val="0"/>
          <w:numId w:val="18"/>
        </w:numPr>
        <w:rPr>
          <w:rFonts w:ascii="Arial" w:cs="Arial" w:eastAsia="Arial" w:hAnsi="Arial"/>
          <w:sz w:val="10"/>
          <w:szCs w:val="10"/>
          <w:color w:val="6D6D6D"/>
        </w:rPr>
      </w:pPr>
      <w:r>
        <w:rPr>
          <w:rFonts w:ascii="Arial" w:cs="Arial" w:eastAsia="Arial" w:hAnsi="Arial"/>
          <w:sz w:val="10"/>
          <w:szCs w:val="10"/>
          <w:color w:val="6D6D6D"/>
        </w:rPr>
        <w:t>Adjusted net earnings available to common and equivalent stockholders divided by weighted average diluted common shares outstanding.</w:t>
      </w:r>
    </w:p>
    <w:p>
      <w:pPr>
        <w:spacing w:after="0" w:line="2" w:lineRule="exact"/>
        <w:rPr>
          <w:rFonts w:ascii="Arial" w:cs="Arial" w:eastAsia="Arial" w:hAnsi="Arial"/>
          <w:sz w:val="10"/>
          <w:szCs w:val="10"/>
          <w:color w:val="6D6D6D"/>
        </w:rPr>
      </w:pPr>
    </w:p>
    <w:p>
      <w:pPr>
        <w:ind w:left="148" w:hanging="148"/>
        <w:spacing w:after="0"/>
        <w:tabs>
          <w:tab w:leader="none" w:pos="148" w:val="left"/>
        </w:tabs>
        <w:numPr>
          <w:ilvl w:val="0"/>
          <w:numId w:val="18"/>
        </w:numPr>
        <w:rPr>
          <w:rFonts w:ascii="Arial" w:cs="Arial" w:eastAsia="Arial" w:hAnsi="Arial"/>
          <w:sz w:val="10"/>
          <w:szCs w:val="10"/>
          <w:color w:val="6D6D6D"/>
        </w:rPr>
      </w:pPr>
      <w:r>
        <w:rPr>
          <w:rFonts w:ascii="Arial" w:cs="Arial" w:eastAsia="Arial" w:hAnsi="Arial"/>
          <w:sz w:val="10"/>
          <w:szCs w:val="10"/>
          <w:color w:val="6D6D6D"/>
        </w:rPr>
        <w:t>Annualized net earnings divided by average assets.</w:t>
      </w:r>
    </w:p>
    <w:p>
      <w:pPr>
        <w:spacing w:after="0" w:line="2" w:lineRule="exact"/>
        <w:rPr>
          <w:rFonts w:ascii="Arial" w:cs="Arial" w:eastAsia="Arial" w:hAnsi="Arial"/>
          <w:sz w:val="10"/>
          <w:szCs w:val="10"/>
          <w:color w:val="6D6D6D"/>
        </w:rPr>
      </w:pPr>
    </w:p>
    <w:p>
      <w:pPr>
        <w:ind w:left="148" w:hanging="148"/>
        <w:spacing w:after="0"/>
        <w:tabs>
          <w:tab w:leader="none" w:pos="148" w:val="left"/>
        </w:tabs>
        <w:numPr>
          <w:ilvl w:val="0"/>
          <w:numId w:val="18"/>
        </w:numPr>
        <w:rPr>
          <w:rFonts w:ascii="Arial" w:cs="Arial" w:eastAsia="Arial" w:hAnsi="Arial"/>
          <w:sz w:val="10"/>
          <w:szCs w:val="10"/>
          <w:color w:val="6D6D6D"/>
        </w:rPr>
      </w:pPr>
      <w:r>
        <w:rPr>
          <w:rFonts w:ascii="Arial" w:cs="Arial" w:eastAsia="Arial" w:hAnsi="Arial"/>
          <w:sz w:val="10"/>
          <w:szCs w:val="10"/>
          <w:color w:val="6D6D6D"/>
        </w:rPr>
        <w:t>Annualized adjusted net earnings divided by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433705</wp:posOffset>
            </wp:positionV>
            <wp:extent cx="548640"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28</w:t>
      </w:r>
    </w:p>
    <w:p>
      <w:pPr>
        <w:sectPr>
          <w:pgSz w:w="11900" w:h="16838" w:orient="portrait"/>
          <w:cols w:equalWidth="0" w:num="1">
            <w:col w:w="11308"/>
          </w:cols>
          <w:pgMar w:left="292" w:top="1096"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31"/>
        </w:trPr>
        <w:tc>
          <w:tcPr>
            <w:tcW w:w="2020" w:type="dxa"/>
            <w:vAlign w:val="bottom"/>
            <w:gridSpan w:val="2"/>
          </w:tcPr>
          <w:p>
            <w:pPr>
              <w:spacing w:after="0"/>
              <w:rPr>
                <w:sz w:val="20"/>
                <w:szCs w:val="20"/>
                <w:color w:val="auto"/>
              </w:rPr>
            </w:pPr>
            <w:r>
              <w:rPr>
                <w:rFonts w:ascii="Arial" w:cs="Arial" w:eastAsia="Arial" w:hAnsi="Arial"/>
                <w:sz w:val="10"/>
                <w:szCs w:val="10"/>
                <w:b w:val="1"/>
                <w:bCs w:val="1"/>
                <w:color w:val="auto"/>
              </w:rPr>
              <w:t>BANC OF CALIFORNIA, INC.</w:t>
            </w: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rPr>
                <w:sz w:val="20"/>
                <w:szCs w:val="20"/>
                <w:color w:val="auto"/>
              </w:rPr>
            </w:pPr>
            <w:r>
              <w:rPr>
                <w:rFonts w:ascii="Arial" w:cs="Arial" w:eastAsia="Arial" w:hAnsi="Arial"/>
                <w:sz w:val="10"/>
                <w:szCs w:val="10"/>
                <w:b w:val="1"/>
                <w:bCs w:val="1"/>
                <w:color w:val="auto"/>
              </w:rPr>
              <w:t>NON-GAAP MEASURES</w:t>
            </w: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rPr>
                <w:sz w:val="20"/>
                <w:szCs w:val="20"/>
                <w:color w:val="auto"/>
              </w:rPr>
            </w:pPr>
            <w:r>
              <w:rPr>
                <w:rFonts w:ascii="Arial" w:cs="Arial" w:eastAsia="Arial" w:hAnsi="Arial"/>
                <w:sz w:val="10"/>
                <w:szCs w:val="10"/>
                <w:b w:val="1"/>
                <w:bCs w:val="1"/>
                <w:color w:val="auto"/>
              </w:rPr>
              <w:t>(UNAUDITED)</w:t>
            </w:r>
          </w:p>
        </w:tc>
        <w:tc>
          <w:tcPr>
            <w:tcW w:w="20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3"/>
          </w:tcPr>
          <w:p>
            <w:pPr>
              <w:jc w:val="right"/>
              <w:ind w:right="172"/>
              <w:spacing w:after="0"/>
              <w:rPr>
                <w:sz w:val="20"/>
                <w:szCs w:val="20"/>
                <w:color w:val="auto"/>
              </w:rPr>
            </w:pPr>
            <w:r>
              <w:rPr>
                <w:rFonts w:ascii="Arial" w:cs="Arial" w:eastAsia="Arial" w:hAnsi="Arial"/>
                <w:sz w:val="10"/>
                <w:szCs w:val="10"/>
                <w:b w:val="1"/>
                <w:bCs w:val="1"/>
                <w:color w:val="auto"/>
              </w:rPr>
              <w:t>Year Ended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ind w:left="160"/>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10"/>
                <w:szCs w:val="1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September 30,</w:t>
            </w:r>
          </w:p>
        </w:tc>
        <w:tc>
          <w:tcPr>
            <w:tcW w:w="140" w:type="dxa"/>
            <w:vAlign w:val="bottom"/>
          </w:tcPr>
          <w:p>
            <w:pPr>
              <w:spacing w:after="0"/>
              <w:rPr>
                <w:sz w:val="10"/>
                <w:szCs w:val="1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December 31,</w:t>
            </w:r>
          </w:p>
        </w:tc>
        <w:tc>
          <w:tcPr>
            <w:tcW w:w="3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rPr>
              <w:t>December 31,</w:t>
            </w: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2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Pre-Tax Pre-Provision Income</w:t>
            </w:r>
          </w:p>
        </w:tc>
        <w:tc>
          <w:tcPr>
            <w:tcW w:w="2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jc w:val="right"/>
              <w:ind w:right="53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jc w:val="center"/>
              <w:ind w:right="92"/>
              <w:spacing w:after="0" w:line="99" w:lineRule="exact"/>
              <w:rPr>
                <w:sz w:val="20"/>
                <w:szCs w:val="20"/>
                <w:color w:val="auto"/>
              </w:rPr>
            </w:pPr>
            <w:r>
              <w:rPr>
                <w:rFonts w:ascii="Arial" w:cs="Arial" w:eastAsia="Arial" w:hAnsi="Arial"/>
                <w:sz w:val="10"/>
                <w:szCs w:val="10"/>
                <w:b w:val="1"/>
                <w:bCs w:val="1"/>
                <w:color w:val="auto"/>
                <w:w w:val="89"/>
              </w:rPr>
              <w:t>2025</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jc w:val="center"/>
              <w:ind w:right="72"/>
              <w:spacing w:after="0" w:line="99" w:lineRule="exact"/>
              <w:rPr>
                <w:sz w:val="20"/>
                <w:szCs w:val="20"/>
                <w:color w:val="auto"/>
              </w:rPr>
            </w:pPr>
            <w:r>
              <w:rPr>
                <w:rFonts w:ascii="Arial" w:cs="Arial" w:eastAsia="Arial" w:hAnsi="Arial"/>
                <w:sz w:val="10"/>
                <w:szCs w:val="10"/>
                <w:b w:val="1"/>
                <w:bCs w:val="1"/>
                <w:color w:val="auto"/>
                <w:w w:val="98"/>
              </w:rPr>
              <w:t>2024</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jc w:val="right"/>
              <w:ind w:right="53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jc w:val="right"/>
              <w:ind w:right="552"/>
              <w:spacing w:after="0" w:line="99" w:lineRule="exact"/>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tcPr>
          <w:p>
            <w:pPr>
              <w:jc w:val="center"/>
              <w:ind w:right="200"/>
              <w:spacing w:after="0" w:line="109" w:lineRule="exact"/>
              <w:rPr>
                <w:sz w:val="20"/>
                <w:szCs w:val="20"/>
                <w:color w:val="auto"/>
              </w:rPr>
            </w:pPr>
            <w:r>
              <w:rPr>
                <w:rFonts w:ascii="Arial" w:cs="Arial" w:eastAsia="Arial" w:hAnsi="Arial"/>
                <w:sz w:val="10"/>
                <w:szCs w:val="10"/>
                <w:b w:val="1"/>
                <w:bCs w:val="1"/>
                <w:i w:val="1"/>
                <w:iCs w:val="1"/>
                <w:color w:val="auto"/>
                <w:w w:val="96"/>
              </w:rPr>
              <w:t>(Dollars in thousands)</w:t>
            </w: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20" w:type="dxa"/>
            <w:vAlign w:val="bottom"/>
            <w:gridSpan w:val="2"/>
          </w:tcPr>
          <w:p>
            <w:pPr>
              <w:spacing w:after="0"/>
              <w:rPr>
                <w:sz w:val="20"/>
                <w:szCs w:val="20"/>
                <w:color w:val="auto"/>
              </w:rPr>
            </w:pPr>
            <w:r>
              <w:rPr>
                <w:rFonts w:ascii="Arial" w:cs="Arial" w:eastAsia="Arial" w:hAnsi="Arial"/>
                <w:sz w:val="10"/>
                <w:szCs w:val="10"/>
                <w:color w:val="auto"/>
              </w:rPr>
              <w:t>Net interest income (GAAP)</w:t>
            </w:r>
          </w:p>
        </w:tc>
        <w:tc>
          <w:tcPr>
            <w:tcW w:w="22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251,362</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253,444</w:t>
            </w:r>
          </w:p>
        </w:tc>
        <w:tc>
          <w:tcPr>
            <w:tcW w:w="60" w:type="dxa"/>
            <w:vAlign w:val="bottom"/>
          </w:tcPr>
          <w:p>
            <w:pPr>
              <w:spacing w:after="0"/>
              <w:rPr>
                <w:sz w:val="11"/>
                <w:szCs w:val="11"/>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235,285</w:t>
            </w:r>
          </w:p>
        </w:tc>
        <w:tc>
          <w:tcPr>
            <w:tcW w:w="8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977,386</w:t>
            </w:r>
          </w:p>
        </w:tc>
        <w:tc>
          <w:tcPr>
            <w:tcW w:w="80" w:type="dxa"/>
            <w:vAlign w:val="bottom"/>
          </w:tcPr>
          <w:p>
            <w:pPr>
              <w:spacing w:after="0"/>
              <w:rPr>
                <w:sz w:val="11"/>
                <w:szCs w:val="11"/>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926,050</w:t>
            </w: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rPr>
                <w:sz w:val="20"/>
                <w:szCs w:val="20"/>
                <w:color w:val="auto"/>
              </w:rPr>
            </w:pPr>
            <w:r>
              <w:rPr>
                <w:rFonts w:ascii="Arial" w:cs="Arial" w:eastAsia="Arial" w:hAnsi="Arial"/>
                <w:sz w:val="10"/>
                <w:szCs w:val="10"/>
                <w:color w:val="auto"/>
              </w:rPr>
              <w:t>Add: Noninterest income (GAAP)</w:t>
            </w:r>
          </w:p>
        </w:tc>
        <w:tc>
          <w:tcPr>
            <w:tcW w:w="20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41,571</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34,285</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28,989</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142,139</w:t>
            </w: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77,145</w:t>
            </w:r>
          </w:p>
        </w:tc>
        <w:tc>
          <w:tcPr>
            <w:tcW w:w="0" w:type="dxa"/>
            <w:vAlign w:val="bottom"/>
          </w:tcPr>
          <w:p>
            <w:pPr>
              <w:spacing w:after="0"/>
              <w:rPr>
                <w:sz w:val="1"/>
                <w:szCs w:val="1"/>
                <w:color w:val="auto"/>
              </w:rPr>
            </w:pPr>
          </w:p>
        </w:tc>
      </w:tr>
      <w:tr>
        <w:trPr>
          <w:trHeight w:val="124"/>
        </w:trPr>
        <w:tc>
          <w:tcPr>
            <w:tcW w:w="2020" w:type="dxa"/>
            <w:vAlign w:val="bottom"/>
            <w:gridSpan w:val="2"/>
          </w:tcPr>
          <w:p>
            <w:pPr>
              <w:ind w:left="80"/>
              <w:spacing w:after="0"/>
              <w:rPr>
                <w:sz w:val="20"/>
                <w:szCs w:val="20"/>
                <w:color w:val="auto"/>
              </w:rPr>
            </w:pPr>
            <w:r>
              <w:rPr>
                <w:rFonts w:ascii="Arial" w:cs="Arial" w:eastAsia="Arial" w:hAnsi="Arial"/>
                <w:sz w:val="10"/>
                <w:szCs w:val="10"/>
                <w:color w:val="auto"/>
              </w:rPr>
              <w:t>Total revenues (GAAP)</w:t>
            </w:r>
          </w:p>
        </w:tc>
        <w:tc>
          <w:tcPr>
            <w:tcW w:w="2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292,933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287,729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264,274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1,119,525</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1,003,195</w:t>
            </w:r>
          </w:p>
        </w:tc>
        <w:tc>
          <w:tcPr>
            <w:tcW w:w="0" w:type="dxa"/>
            <w:vAlign w:val="bottom"/>
          </w:tcPr>
          <w:p>
            <w:pPr>
              <w:spacing w:after="0"/>
              <w:rPr>
                <w:sz w:val="1"/>
                <w:szCs w:val="1"/>
                <w:color w:val="auto"/>
              </w:rPr>
            </w:pPr>
          </w:p>
        </w:tc>
      </w:tr>
      <w:tr>
        <w:trPr>
          <w:trHeight w:val="138"/>
        </w:trPr>
        <w:tc>
          <w:tcPr>
            <w:tcW w:w="2020" w:type="dxa"/>
            <w:vAlign w:val="bottom"/>
            <w:gridSpan w:val="2"/>
          </w:tcPr>
          <w:p>
            <w:pPr>
              <w:spacing w:after="0"/>
              <w:rPr>
                <w:sz w:val="20"/>
                <w:szCs w:val="20"/>
                <w:color w:val="auto"/>
              </w:rPr>
            </w:pPr>
            <w:r>
              <w:rPr>
                <w:rFonts w:ascii="Arial" w:cs="Arial" w:eastAsia="Arial" w:hAnsi="Arial"/>
                <w:sz w:val="10"/>
                <w:szCs w:val="10"/>
                <w:color w:val="auto"/>
              </w:rPr>
              <w:t>Less: Noninterest expense (GAAP)</w:t>
            </w:r>
          </w:p>
        </w:tc>
        <w:tc>
          <w:tcPr>
            <w:tcW w:w="2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180,644</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185,684</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181,370</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735,850</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791,740</w:t>
            </w:r>
          </w:p>
        </w:tc>
        <w:tc>
          <w:tcPr>
            <w:tcW w:w="0" w:type="dxa"/>
            <w:vAlign w:val="bottom"/>
          </w:tcPr>
          <w:p>
            <w:pPr>
              <w:spacing w:after="0"/>
              <w:rPr>
                <w:sz w:val="1"/>
                <w:szCs w:val="1"/>
                <w:color w:val="auto"/>
              </w:rPr>
            </w:pPr>
          </w:p>
        </w:tc>
      </w:tr>
      <w:tr>
        <w:trPr>
          <w:trHeight w:val="127"/>
        </w:trPr>
        <w:tc>
          <w:tcPr>
            <w:tcW w:w="2020" w:type="dxa"/>
            <w:vAlign w:val="bottom"/>
            <w:gridSpan w:val="2"/>
          </w:tcPr>
          <w:p>
            <w:pPr>
              <w:ind w:left="80"/>
              <w:spacing w:after="0"/>
              <w:rPr>
                <w:sz w:val="20"/>
                <w:szCs w:val="20"/>
                <w:color w:val="auto"/>
              </w:rPr>
            </w:pPr>
            <w:r>
              <w:rPr>
                <w:rFonts w:ascii="Arial" w:cs="Arial" w:eastAsia="Arial" w:hAnsi="Arial"/>
                <w:sz w:val="10"/>
                <w:szCs w:val="10"/>
                <w:color w:val="auto"/>
              </w:rPr>
              <w:t>Pre-tax pre-provision income (Non-GAAP)</w:t>
            </w:r>
          </w:p>
        </w:tc>
        <w:tc>
          <w:tcPr>
            <w:tcW w:w="22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112,289</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102,045</w:t>
            </w:r>
          </w:p>
        </w:tc>
        <w:tc>
          <w:tcPr>
            <w:tcW w:w="60" w:type="dxa"/>
            <w:vAlign w:val="bottom"/>
          </w:tcPr>
          <w:p>
            <w:pPr>
              <w:spacing w:after="0"/>
              <w:rPr>
                <w:sz w:val="11"/>
                <w:szCs w:val="11"/>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82,904</w:t>
            </w:r>
          </w:p>
        </w:tc>
        <w:tc>
          <w:tcPr>
            <w:tcW w:w="8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383,675</w:t>
            </w:r>
          </w:p>
        </w:tc>
        <w:tc>
          <w:tcPr>
            <w:tcW w:w="80" w:type="dxa"/>
            <w:vAlign w:val="bottom"/>
          </w:tcPr>
          <w:p>
            <w:pPr>
              <w:spacing w:after="0"/>
              <w:rPr>
                <w:sz w:val="11"/>
                <w:szCs w:val="11"/>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211,455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vMerge w:val="restart"/>
          </w:tcPr>
          <w:p>
            <w:pPr>
              <w:jc w:val="right"/>
              <w:ind w:right="1732"/>
              <w:spacing w:after="0"/>
              <w:rPr>
                <w:sz w:val="20"/>
                <w:szCs w:val="20"/>
                <w:color w:val="auto"/>
              </w:rPr>
            </w:pPr>
            <w:r>
              <w:rPr>
                <w:rFonts w:ascii="Arial" w:cs="Arial" w:eastAsia="Arial" w:hAnsi="Arial"/>
                <w:sz w:val="10"/>
                <w:szCs w:val="10"/>
                <w:color w:val="001B2C"/>
              </w:rPr>
              <w:t>29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-178435</wp:posOffset>
            </wp:positionV>
            <wp:extent cx="548640"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ectPr>
          <w:pgSz w:w="11900" w:h="16838" w:orient="portrait"/>
          <w:cols w:equalWidth="0" w:num="1">
            <w:col w:w="11300"/>
          </w:cols>
          <w:pgMar w:left="300" w:top="1024" w:right="299" w:bottom="1440" w:gutter="0" w:footer="0" w:header="0"/>
        </w:sectPr>
      </w:pPr>
    </w:p>
    <w:bookmarkStart w:id="33" w:name="page34"/>
    <w:bookmarkEnd w:id="33"/>
    <w:tbl>
      <w:tblPr>
        <w:tblLayout w:type="fixed"/>
        <w:tblInd w:w="8" w:type="dxa"/>
        <w:tblCellMar>
          <w:top w:w="0" w:type="dxa"/>
          <w:left w:w="0" w:type="dxa"/>
          <w:bottom w:w="0" w:type="dxa"/>
          <w:right w:w="0" w:type="dxa"/>
        </w:tblCellMar>
      </w:tblPr>
      <w:tr>
        <w:trPr>
          <w:trHeight w:val="131"/>
        </w:trPr>
        <w:tc>
          <w:tcPr>
            <w:tcW w:w="3320" w:type="dxa"/>
            <w:vAlign w:val="bottom"/>
            <w:gridSpan w:val="2"/>
          </w:tcPr>
          <w:p>
            <w:pPr>
              <w:spacing w:after="0"/>
              <w:rPr>
                <w:sz w:val="20"/>
                <w:szCs w:val="20"/>
                <w:color w:val="auto"/>
              </w:rPr>
            </w:pPr>
            <w:r>
              <w:rPr>
                <w:rFonts w:ascii="Arial" w:cs="Arial" w:eastAsia="Arial" w:hAnsi="Arial"/>
                <w:sz w:val="10"/>
                <w:szCs w:val="10"/>
                <w:b w:val="1"/>
                <w:bCs w:val="1"/>
                <w:color w:val="auto"/>
              </w:rPr>
              <w:t>BANC OF CALIFORNIA, INC.</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tcPr>
          <w:p>
            <w:pPr>
              <w:spacing w:after="0"/>
              <w:rPr>
                <w:sz w:val="20"/>
                <w:szCs w:val="20"/>
                <w:color w:val="auto"/>
              </w:rPr>
            </w:pPr>
            <w:r>
              <w:rPr>
                <w:rFonts w:ascii="Arial" w:cs="Arial" w:eastAsia="Arial" w:hAnsi="Arial"/>
                <w:sz w:val="10"/>
                <w:szCs w:val="10"/>
                <w:b w:val="1"/>
                <w:bCs w:val="1"/>
                <w:color w:val="auto"/>
              </w:rPr>
              <w:t>NON-GAAP MEASURES</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tcPr>
          <w:p>
            <w:pPr>
              <w:spacing w:after="0"/>
              <w:rPr>
                <w:sz w:val="20"/>
                <w:szCs w:val="20"/>
                <w:color w:val="auto"/>
              </w:rPr>
            </w:pPr>
            <w:r>
              <w:rPr>
                <w:rFonts w:ascii="Arial" w:cs="Arial" w:eastAsia="Arial" w:hAnsi="Arial"/>
                <w:sz w:val="10"/>
                <w:szCs w:val="10"/>
                <w:b w:val="1"/>
                <w:bCs w:val="1"/>
                <w:color w:val="auto"/>
              </w:rPr>
              <w:t>(UNAUDITED)</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4"/>
              </w:rPr>
              <w:t>Three Months Ended</w:t>
            </w: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gridSpan w:val="3"/>
          </w:tcPr>
          <w:p>
            <w:pPr>
              <w:jc w:val="right"/>
              <w:ind w:right="192"/>
              <w:spacing w:after="0"/>
              <w:rPr>
                <w:sz w:val="20"/>
                <w:szCs w:val="20"/>
                <w:color w:val="auto"/>
              </w:rPr>
            </w:pPr>
            <w:r>
              <w:rPr>
                <w:rFonts w:ascii="Arial" w:cs="Arial" w:eastAsia="Arial" w:hAnsi="Arial"/>
                <w:sz w:val="10"/>
                <w:szCs w:val="10"/>
                <w:b w:val="1"/>
                <w:bCs w:val="1"/>
                <w:color w:val="auto"/>
              </w:rPr>
              <w:t>Year Ended</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0"/>
                <w:szCs w:val="1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September 30,</w:t>
            </w:r>
          </w:p>
        </w:tc>
        <w:tc>
          <w:tcPr>
            <w:tcW w:w="160" w:type="dxa"/>
            <w:vAlign w:val="bottom"/>
          </w:tcPr>
          <w:p>
            <w:pPr>
              <w:spacing w:after="0"/>
              <w:rPr>
                <w:sz w:val="10"/>
                <w:szCs w:val="1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December 31,</w:t>
            </w:r>
          </w:p>
        </w:tc>
        <w:tc>
          <w:tcPr>
            <w:tcW w:w="3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b w:val="1"/>
                <w:bCs w:val="1"/>
                <w:color w:val="auto"/>
              </w:rPr>
              <w:t>December 31,</w:t>
            </w: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Efficiency Ratio</w:t>
            </w:r>
          </w:p>
        </w:tc>
        <w:tc>
          <w:tcPr>
            <w:tcW w:w="240" w:type="dxa"/>
            <w:vAlign w:val="bottom"/>
          </w:tcPr>
          <w:p>
            <w:pPr>
              <w:spacing w:after="0"/>
              <w:rPr>
                <w:sz w:val="8"/>
                <w:szCs w:val="8"/>
                <w:color w:val="auto"/>
              </w:rPr>
            </w:pPr>
          </w:p>
        </w:tc>
        <w:tc>
          <w:tcPr>
            <w:tcW w:w="1280" w:type="dxa"/>
            <w:vAlign w:val="bottom"/>
          </w:tcPr>
          <w:p>
            <w:pPr>
              <w:jc w:val="right"/>
              <w:ind w:right="612"/>
              <w:spacing w:after="0" w:line="99" w:lineRule="exact"/>
              <w:rPr>
                <w:sz w:val="20"/>
                <w:szCs w:val="20"/>
                <w:color w:val="auto"/>
              </w:rPr>
            </w:pPr>
            <w:r>
              <w:rPr>
                <w:rFonts w:ascii="Arial" w:cs="Arial" w:eastAsia="Arial" w:hAnsi="Arial"/>
                <w:sz w:val="10"/>
                <w:szCs w:val="10"/>
                <w:b w:val="1"/>
                <w:bCs w:val="1"/>
                <w:color w:val="auto"/>
              </w:rPr>
              <w:t>2025</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9"/>
              </w:rPr>
              <w:t>2024</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jc w:val="right"/>
              <w:ind w:right="612"/>
              <w:spacing w:after="0" w:line="99" w:lineRule="exact"/>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jc w:val="right"/>
              <w:ind w:right="612"/>
              <w:spacing w:after="0" w:line="99" w:lineRule="exact"/>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i w:val="1"/>
                <w:iCs w:val="1"/>
                <w:color w:val="auto"/>
                <w:w w:val="96"/>
              </w:rPr>
              <w:t>(Dollars in thousands)</w:t>
            </w: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320" w:type="dxa"/>
            <w:vAlign w:val="bottom"/>
            <w:gridSpan w:val="2"/>
          </w:tcPr>
          <w:p>
            <w:pPr>
              <w:spacing w:after="0"/>
              <w:rPr>
                <w:sz w:val="20"/>
                <w:szCs w:val="20"/>
                <w:color w:val="auto"/>
              </w:rPr>
            </w:pPr>
            <w:r>
              <w:rPr>
                <w:rFonts w:ascii="Arial" w:cs="Arial" w:eastAsia="Arial" w:hAnsi="Arial"/>
                <w:sz w:val="10"/>
                <w:szCs w:val="10"/>
                <w:color w:val="auto"/>
              </w:rPr>
              <w:t>Noninterest expense</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92"/>
              <w:spacing w:after="0"/>
              <w:rPr>
                <w:sz w:val="20"/>
                <w:szCs w:val="20"/>
                <w:color w:val="auto"/>
              </w:rPr>
            </w:pPr>
            <w:r>
              <w:rPr>
                <w:rFonts w:ascii="Arial" w:cs="Arial" w:eastAsia="Arial" w:hAnsi="Arial"/>
                <w:sz w:val="10"/>
                <w:szCs w:val="10"/>
                <w:color w:val="auto"/>
              </w:rPr>
              <w:t>180,644</w:t>
            </w:r>
          </w:p>
        </w:tc>
        <w:tc>
          <w:tcPr>
            <w:tcW w:w="6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185,684</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181,370</w:t>
            </w:r>
          </w:p>
        </w:tc>
        <w:tc>
          <w:tcPr>
            <w:tcW w:w="8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735,850</w:t>
            </w:r>
          </w:p>
        </w:tc>
        <w:tc>
          <w:tcPr>
            <w:tcW w:w="8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791,740</w:t>
            </w:r>
          </w:p>
        </w:tc>
        <w:tc>
          <w:tcPr>
            <w:tcW w:w="0" w:type="dxa"/>
            <w:vAlign w:val="bottom"/>
          </w:tcPr>
          <w:p>
            <w:pPr>
              <w:spacing w:after="0"/>
              <w:rPr>
                <w:sz w:val="1"/>
                <w:szCs w:val="1"/>
                <w:color w:val="auto"/>
              </w:rPr>
            </w:pPr>
          </w:p>
        </w:tc>
      </w:tr>
      <w:tr>
        <w:trPr>
          <w:trHeight w:val="135"/>
        </w:trPr>
        <w:tc>
          <w:tcPr>
            <w:tcW w:w="3320" w:type="dxa"/>
            <w:vAlign w:val="bottom"/>
            <w:gridSpan w:val="2"/>
          </w:tcPr>
          <w:p>
            <w:pPr>
              <w:spacing w:after="0"/>
              <w:rPr>
                <w:sz w:val="20"/>
                <w:szCs w:val="20"/>
                <w:color w:val="auto"/>
              </w:rPr>
            </w:pPr>
            <w:r>
              <w:rPr>
                <w:rFonts w:ascii="Arial" w:cs="Arial" w:eastAsia="Arial" w:hAnsi="Arial"/>
                <w:sz w:val="10"/>
                <w:szCs w:val="10"/>
                <w:color w:val="auto"/>
              </w:rPr>
              <w:t>Less: Intangible asset amortization</w:t>
            </w:r>
          </w:p>
        </w:tc>
        <w:tc>
          <w:tcPr>
            <w:tcW w:w="240" w:type="dxa"/>
            <w:vAlign w:val="bottom"/>
          </w:tcPr>
          <w:p>
            <w:pPr>
              <w:spacing w:after="0"/>
              <w:rPr>
                <w:sz w:val="11"/>
                <w:szCs w:val="11"/>
                <w:color w:val="auto"/>
              </w:rPr>
            </w:pPr>
          </w:p>
        </w:tc>
        <w:tc>
          <w:tcPr>
            <w:tcW w:w="1280" w:type="dxa"/>
            <w:vAlign w:val="bottom"/>
          </w:tcPr>
          <w:p>
            <w:pPr>
              <w:jc w:val="right"/>
              <w:ind w:right="52"/>
              <w:spacing w:after="0"/>
              <w:rPr>
                <w:sz w:val="20"/>
                <w:szCs w:val="20"/>
                <w:color w:val="auto"/>
              </w:rPr>
            </w:pPr>
            <w:r>
              <w:rPr>
                <w:rFonts w:ascii="Arial" w:cs="Arial" w:eastAsia="Arial" w:hAnsi="Arial"/>
                <w:sz w:val="10"/>
                <w:szCs w:val="10"/>
                <w:color w:val="auto"/>
              </w:rPr>
              <w:t>(6,788)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(7,160)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right"/>
              <w:ind w:right="52"/>
              <w:spacing w:after="0"/>
              <w:rPr>
                <w:sz w:val="20"/>
                <w:szCs w:val="20"/>
                <w:color w:val="auto"/>
              </w:rPr>
            </w:pPr>
            <w:r>
              <w:rPr>
                <w:rFonts w:ascii="Arial" w:cs="Arial" w:eastAsia="Arial" w:hAnsi="Arial"/>
                <w:sz w:val="10"/>
                <w:szCs w:val="10"/>
                <w:color w:val="auto"/>
              </w:rPr>
              <w:t>(7,770)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(28,267)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(33,143)</w:t>
            </w:r>
          </w:p>
        </w:tc>
        <w:tc>
          <w:tcPr>
            <w:tcW w:w="0" w:type="dxa"/>
            <w:vAlign w:val="bottom"/>
          </w:tcPr>
          <w:p>
            <w:pPr>
              <w:spacing w:after="0"/>
              <w:rPr>
                <w:sz w:val="1"/>
                <w:szCs w:val="1"/>
                <w:color w:val="auto"/>
              </w:rPr>
            </w:pPr>
          </w:p>
        </w:tc>
      </w:tr>
      <w:tr>
        <w:trPr>
          <w:trHeight w:val="135"/>
        </w:trPr>
        <w:tc>
          <w:tcPr>
            <w:tcW w:w="3320" w:type="dxa"/>
            <w:vAlign w:val="bottom"/>
            <w:gridSpan w:val="2"/>
          </w:tcPr>
          <w:p>
            <w:pPr>
              <w:spacing w:after="0"/>
              <w:rPr>
                <w:sz w:val="20"/>
                <w:szCs w:val="20"/>
                <w:color w:val="auto"/>
              </w:rPr>
            </w:pPr>
            <w:r>
              <w:rPr>
                <w:rFonts w:ascii="Arial" w:cs="Arial" w:eastAsia="Arial" w:hAnsi="Arial"/>
                <w:sz w:val="10"/>
                <w:szCs w:val="10"/>
                <w:color w:val="auto"/>
              </w:rPr>
              <w:t>Less: Acquisition, integration, and</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tcPr>
          <w:p>
            <w:pPr>
              <w:ind w:left="80"/>
              <w:spacing w:after="0"/>
              <w:rPr>
                <w:sz w:val="20"/>
                <w:szCs w:val="20"/>
                <w:color w:val="auto"/>
              </w:rPr>
            </w:pPr>
            <w:r>
              <w:rPr>
                <w:rFonts w:ascii="Arial" w:cs="Arial" w:eastAsia="Arial" w:hAnsi="Arial"/>
                <w:sz w:val="10"/>
                <w:szCs w:val="10"/>
                <w:color w:val="auto"/>
              </w:rPr>
              <w:t>reorganization costs</w:t>
            </w:r>
          </w:p>
        </w:tc>
        <w:tc>
          <w:tcPr>
            <w:tcW w:w="240" w:type="dxa"/>
            <w:vAlign w:val="bottom"/>
          </w:tcPr>
          <w:p>
            <w:pPr>
              <w:spacing w:after="0"/>
              <w:rPr>
                <w:sz w:val="11"/>
                <w:szCs w:val="1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1,023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1"/>
                <w:szCs w:val="11"/>
                <w:color w:val="auto"/>
              </w:rPr>
            </w:pP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14,183</w:t>
            </w:r>
          </w:p>
        </w:tc>
        <w:tc>
          <w:tcPr>
            <w:tcW w:w="0" w:type="dxa"/>
            <w:vAlign w:val="bottom"/>
          </w:tcPr>
          <w:p>
            <w:pPr>
              <w:spacing w:after="0"/>
              <w:rPr>
                <w:sz w:val="1"/>
                <w:szCs w:val="1"/>
                <w:color w:val="auto"/>
              </w:rPr>
            </w:pPr>
          </w:p>
        </w:tc>
      </w:tr>
      <w:tr>
        <w:trPr>
          <w:trHeight w:val="115"/>
        </w:trPr>
        <w:tc>
          <w:tcPr>
            <w:tcW w:w="3320" w:type="dxa"/>
            <w:vAlign w:val="bottom"/>
            <w:gridSpan w:val="2"/>
          </w:tcPr>
          <w:p>
            <w:pPr>
              <w:ind w:left="80"/>
              <w:spacing w:after="0"/>
              <w:rPr>
                <w:sz w:val="20"/>
                <w:szCs w:val="20"/>
                <w:color w:val="auto"/>
              </w:rPr>
            </w:pPr>
            <w:r>
              <w:rPr>
                <w:rFonts w:ascii="Arial" w:cs="Arial" w:eastAsia="Arial" w:hAnsi="Arial"/>
                <w:sz w:val="10"/>
                <w:szCs w:val="10"/>
                <w:color w:val="auto"/>
              </w:rPr>
              <w:t>Noninterest expense used for</w:t>
            </w:r>
          </w:p>
        </w:tc>
        <w:tc>
          <w:tcPr>
            <w:tcW w:w="2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0"/>
                <w:szCs w:val="10"/>
                <w:color w:val="auto"/>
              </w:rPr>
              <w:t>173,856</w:t>
            </w:r>
          </w:p>
        </w:tc>
        <w:tc>
          <w:tcPr>
            <w:tcW w:w="6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w:t>
            </w:r>
          </w:p>
        </w:tc>
        <w:tc>
          <w:tcPr>
            <w:tcW w:w="134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178,524</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174,623</w:t>
            </w:r>
          </w:p>
        </w:tc>
        <w:tc>
          <w:tcPr>
            <w:tcW w:w="80" w:type="dxa"/>
            <w:vAlign w:val="bottom"/>
          </w:tcPr>
          <w:p>
            <w:pPr>
              <w:spacing w:after="0"/>
              <w:rPr>
                <w:sz w:val="10"/>
                <w:szCs w:val="10"/>
                <w:color w:val="auto"/>
              </w:rPr>
            </w:pPr>
          </w:p>
        </w:tc>
        <w:tc>
          <w:tcPr>
            <w:tcW w:w="36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707,583</w:t>
            </w:r>
          </w:p>
        </w:tc>
        <w:tc>
          <w:tcPr>
            <w:tcW w:w="80" w:type="dxa"/>
            <w:vAlign w:val="bottom"/>
          </w:tcPr>
          <w:p>
            <w:pPr>
              <w:spacing w:after="0"/>
              <w:rPr>
                <w:sz w:val="10"/>
                <w:szCs w:val="10"/>
                <w:color w:val="auto"/>
              </w:rPr>
            </w:pPr>
          </w:p>
        </w:tc>
        <w:tc>
          <w:tcPr>
            <w:tcW w:w="46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772,780</w:t>
            </w:r>
          </w:p>
        </w:tc>
        <w:tc>
          <w:tcPr>
            <w:tcW w:w="0" w:type="dxa"/>
            <w:vAlign w:val="bottom"/>
          </w:tcPr>
          <w:p>
            <w:pPr>
              <w:spacing w:after="0"/>
              <w:rPr>
                <w:sz w:val="1"/>
                <w:szCs w:val="1"/>
                <w:color w:val="auto"/>
              </w:rPr>
            </w:pPr>
          </w:p>
        </w:tc>
      </w:tr>
      <w:tr>
        <w:trPr>
          <w:trHeight w:val="146"/>
        </w:trPr>
        <w:tc>
          <w:tcPr>
            <w:tcW w:w="3320" w:type="dxa"/>
            <w:vAlign w:val="bottom"/>
            <w:gridSpan w:val="2"/>
          </w:tcPr>
          <w:p>
            <w:pPr>
              <w:ind w:left="140"/>
              <w:spacing w:after="0"/>
              <w:rPr>
                <w:sz w:val="20"/>
                <w:szCs w:val="20"/>
                <w:color w:val="auto"/>
              </w:rPr>
            </w:pPr>
            <w:r>
              <w:rPr>
                <w:rFonts w:ascii="Arial" w:cs="Arial" w:eastAsia="Arial" w:hAnsi="Arial"/>
                <w:sz w:val="10"/>
                <w:szCs w:val="10"/>
                <w:color w:val="auto"/>
              </w:rPr>
              <w:t>efficiency ratio</w:t>
            </w:r>
          </w:p>
        </w:tc>
        <w:tc>
          <w:tcPr>
            <w:tcW w:w="24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20" w:type="dxa"/>
            <w:vAlign w:val="bottom"/>
            <w:gridSpan w:val="2"/>
          </w:tcPr>
          <w:p>
            <w:pPr>
              <w:spacing w:after="0"/>
              <w:rPr>
                <w:sz w:val="20"/>
                <w:szCs w:val="20"/>
                <w:color w:val="auto"/>
              </w:rPr>
            </w:pPr>
            <w:r>
              <w:rPr>
                <w:rFonts w:ascii="Arial" w:cs="Arial" w:eastAsia="Arial" w:hAnsi="Arial"/>
                <w:sz w:val="10"/>
                <w:szCs w:val="10"/>
                <w:color w:val="auto"/>
              </w:rPr>
              <w:t>Net interest income</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92"/>
              <w:spacing w:after="0"/>
              <w:rPr>
                <w:sz w:val="20"/>
                <w:szCs w:val="20"/>
                <w:color w:val="auto"/>
              </w:rPr>
            </w:pPr>
            <w:r>
              <w:rPr>
                <w:rFonts w:ascii="Arial" w:cs="Arial" w:eastAsia="Arial" w:hAnsi="Arial"/>
                <w:sz w:val="10"/>
                <w:szCs w:val="10"/>
                <w:color w:val="auto"/>
              </w:rPr>
              <w:t>251,362</w:t>
            </w:r>
          </w:p>
        </w:tc>
        <w:tc>
          <w:tcPr>
            <w:tcW w:w="60" w:type="dxa"/>
            <w:vAlign w:val="bottom"/>
          </w:tcPr>
          <w:p>
            <w:pPr>
              <w:spacing w:after="0"/>
              <w:rPr>
                <w:sz w:val="20"/>
                <w:szCs w:val="2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253,444</w:t>
            </w:r>
          </w:p>
        </w:tc>
        <w:tc>
          <w:tcPr>
            <w:tcW w:w="80" w:type="dxa"/>
            <w:vAlign w:val="bottom"/>
          </w:tcPr>
          <w:p>
            <w:pPr>
              <w:spacing w:after="0"/>
              <w:rPr>
                <w:sz w:val="20"/>
                <w:szCs w:val="2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235,285</w:t>
            </w:r>
          </w:p>
        </w:tc>
        <w:tc>
          <w:tcPr>
            <w:tcW w:w="80" w:type="dxa"/>
            <w:vAlign w:val="bottom"/>
          </w:tcPr>
          <w:p>
            <w:pPr>
              <w:spacing w:after="0"/>
              <w:rPr>
                <w:sz w:val="20"/>
                <w:szCs w:val="20"/>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977,386</w:t>
            </w:r>
          </w:p>
        </w:tc>
        <w:tc>
          <w:tcPr>
            <w:tcW w:w="80" w:type="dxa"/>
            <w:vAlign w:val="bottom"/>
          </w:tcPr>
          <w:p>
            <w:pPr>
              <w:spacing w:after="0"/>
              <w:rPr>
                <w:sz w:val="20"/>
                <w:szCs w:val="20"/>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926,050</w:t>
            </w:r>
          </w:p>
        </w:tc>
        <w:tc>
          <w:tcPr>
            <w:tcW w:w="0" w:type="dxa"/>
            <w:vAlign w:val="bottom"/>
          </w:tcPr>
          <w:p>
            <w:pPr>
              <w:spacing w:after="0"/>
              <w:rPr>
                <w:sz w:val="1"/>
                <w:szCs w:val="1"/>
                <w:color w:val="auto"/>
              </w:rPr>
            </w:pPr>
          </w:p>
        </w:tc>
      </w:tr>
      <w:tr>
        <w:trPr>
          <w:trHeight w:val="135"/>
        </w:trPr>
        <w:tc>
          <w:tcPr>
            <w:tcW w:w="3320" w:type="dxa"/>
            <w:vAlign w:val="bottom"/>
            <w:gridSpan w:val="2"/>
          </w:tcPr>
          <w:p>
            <w:pPr>
              <w:spacing w:after="0"/>
              <w:rPr>
                <w:sz w:val="20"/>
                <w:szCs w:val="20"/>
                <w:color w:val="auto"/>
              </w:rPr>
            </w:pPr>
            <w:r>
              <w:rPr>
                <w:rFonts w:ascii="Arial" w:cs="Arial" w:eastAsia="Arial" w:hAnsi="Arial"/>
                <w:sz w:val="10"/>
                <w:szCs w:val="10"/>
                <w:color w:val="auto"/>
              </w:rPr>
              <w:t>Noninterest income</w:t>
            </w:r>
          </w:p>
        </w:tc>
        <w:tc>
          <w:tcPr>
            <w:tcW w:w="2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41,571</w:t>
            </w: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34,285</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28,989</w:t>
            </w: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142,139</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77,145</w:t>
            </w:r>
          </w:p>
        </w:tc>
        <w:tc>
          <w:tcPr>
            <w:tcW w:w="0" w:type="dxa"/>
            <w:vAlign w:val="bottom"/>
          </w:tcPr>
          <w:p>
            <w:pPr>
              <w:spacing w:after="0"/>
              <w:rPr>
                <w:sz w:val="1"/>
                <w:szCs w:val="1"/>
                <w:color w:val="auto"/>
              </w:rPr>
            </w:pPr>
          </w:p>
        </w:tc>
      </w:tr>
      <w:tr>
        <w:trPr>
          <w:trHeight w:val="124"/>
        </w:trPr>
        <w:tc>
          <w:tcPr>
            <w:tcW w:w="3320" w:type="dxa"/>
            <w:vAlign w:val="bottom"/>
            <w:gridSpan w:val="2"/>
          </w:tcPr>
          <w:p>
            <w:pPr>
              <w:ind w:left="80"/>
              <w:spacing w:after="0"/>
              <w:rPr>
                <w:sz w:val="20"/>
                <w:szCs w:val="20"/>
                <w:color w:val="auto"/>
              </w:rPr>
            </w:pPr>
            <w:r>
              <w:rPr>
                <w:rFonts w:ascii="Arial" w:cs="Arial" w:eastAsia="Arial" w:hAnsi="Arial"/>
                <w:sz w:val="10"/>
                <w:szCs w:val="10"/>
                <w:color w:val="auto"/>
              </w:rPr>
              <w:t>Total revenue</w:t>
            </w:r>
          </w:p>
        </w:tc>
        <w:tc>
          <w:tcPr>
            <w:tcW w:w="240" w:type="dxa"/>
            <w:vAlign w:val="bottom"/>
          </w:tcPr>
          <w:p>
            <w:pPr>
              <w:spacing w:after="0"/>
              <w:rPr>
                <w:sz w:val="10"/>
                <w:szCs w:val="10"/>
                <w:color w:val="auto"/>
              </w:rPr>
            </w:pPr>
          </w:p>
        </w:tc>
        <w:tc>
          <w:tcPr>
            <w:tcW w:w="1280" w:type="dxa"/>
            <w:vAlign w:val="bottom"/>
          </w:tcPr>
          <w:p>
            <w:pPr>
              <w:jc w:val="right"/>
              <w:ind w:right="92"/>
              <w:spacing w:after="0"/>
              <w:rPr>
                <w:sz w:val="20"/>
                <w:szCs w:val="20"/>
                <w:color w:val="auto"/>
              </w:rPr>
            </w:pPr>
            <w:r>
              <w:rPr>
                <w:rFonts w:ascii="Arial" w:cs="Arial" w:eastAsia="Arial" w:hAnsi="Arial"/>
                <w:sz w:val="10"/>
                <w:szCs w:val="10"/>
                <w:color w:val="auto"/>
              </w:rPr>
              <w:t>292,933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287,729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264,274</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1,119,525</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1,003,195</w:t>
            </w:r>
          </w:p>
        </w:tc>
        <w:tc>
          <w:tcPr>
            <w:tcW w:w="0" w:type="dxa"/>
            <w:vAlign w:val="bottom"/>
          </w:tcPr>
          <w:p>
            <w:pPr>
              <w:spacing w:after="0"/>
              <w:rPr>
                <w:sz w:val="1"/>
                <w:szCs w:val="1"/>
                <w:color w:val="auto"/>
              </w:rPr>
            </w:pPr>
          </w:p>
        </w:tc>
      </w:tr>
      <w:tr>
        <w:trPr>
          <w:trHeight w:val="138"/>
        </w:trPr>
        <w:tc>
          <w:tcPr>
            <w:tcW w:w="3320" w:type="dxa"/>
            <w:vAlign w:val="bottom"/>
            <w:gridSpan w:val="2"/>
          </w:tcPr>
          <w:p>
            <w:pPr>
              <w:spacing w:after="0"/>
              <w:rPr>
                <w:sz w:val="20"/>
                <w:szCs w:val="20"/>
                <w:color w:val="auto"/>
              </w:rPr>
            </w:pPr>
            <w:r>
              <w:rPr>
                <w:rFonts w:ascii="Arial" w:cs="Arial" w:eastAsia="Arial" w:hAnsi="Arial"/>
                <w:sz w:val="10"/>
                <w:szCs w:val="10"/>
                <w:color w:val="auto"/>
              </w:rPr>
              <w:t>Add: Loss on sale of securities</w:t>
            </w:r>
          </w:p>
        </w:tc>
        <w:tc>
          <w:tcPr>
            <w:tcW w:w="2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454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60,400</w:t>
            </w:r>
          </w:p>
        </w:tc>
        <w:tc>
          <w:tcPr>
            <w:tcW w:w="0" w:type="dxa"/>
            <w:vAlign w:val="bottom"/>
          </w:tcPr>
          <w:p>
            <w:pPr>
              <w:spacing w:after="0"/>
              <w:rPr>
                <w:sz w:val="1"/>
                <w:szCs w:val="1"/>
                <w:color w:val="auto"/>
              </w:rPr>
            </w:pPr>
          </w:p>
        </w:tc>
      </w:tr>
      <w:tr>
        <w:trPr>
          <w:trHeight w:val="127"/>
        </w:trPr>
        <w:tc>
          <w:tcPr>
            <w:tcW w:w="3320" w:type="dxa"/>
            <w:vAlign w:val="bottom"/>
            <w:gridSpan w:val="2"/>
          </w:tcPr>
          <w:p>
            <w:pPr>
              <w:ind w:left="80"/>
              <w:spacing w:after="0"/>
              <w:rPr>
                <w:sz w:val="20"/>
                <w:szCs w:val="20"/>
                <w:color w:val="auto"/>
              </w:rPr>
            </w:pPr>
            <w:r>
              <w:rPr>
                <w:rFonts w:ascii="Arial" w:cs="Arial" w:eastAsia="Arial" w:hAnsi="Arial"/>
                <w:sz w:val="10"/>
                <w:szCs w:val="10"/>
                <w:color w:val="auto"/>
              </w:rPr>
              <w:t>Total revenue used for efficiency ratio</w:t>
            </w: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292,933</w:t>
            </w:r>
          </w:p>
        </w:tc>
        <w:tc>
          <w:tcPr>
            <w:tcW w:w="6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287,729</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264,728</w:t>
            </w:r>
          </w:p>
        </w:tc>
        <w:tc>
          <w:tcPr>
            <w:tcW w:w="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1,119,525</w:t>
            </w: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1,063,595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20" w:type="dxa"/>
            <w:vAlign w:val="bottom"/>
            <w:gridSpan w:val="2"/>
          </w:tcPr>
          <w:p>
            <w:pPr>
              <w:spacing w:after="0"/>
              <w:rPr>
                <w:sz w:val="20"/>
                <w:szCs w:val="20"/>
                <w:color w:val="auto"/>
              </w:rPr>
            </w:pPr>
            <w:r>
              <w:rPr>
                <w:rFonts w:ascii="Arial" w:cs="Arial" w:eastAsia="Arial" w:hAnsi="Arial"/>
                <w:sz w:val="10"/>
                <w:szCs w:val="10"/>
                <w:color w:val="auto"/>
              </w:rPr>
              <w:t>Noninterest expense to total revenue</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61.67 %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64.53 %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68.63 %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65.73 %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78.92 %</w:t>
            </w:r>
          </w:p>
        </w:tc>
        <w:tc>
          <w:tcPr>
            <w:tcW w:w="0" w:type="dxa"/>
            <w:vAlign w:val="bottom"/>
          </w:tcPr>
          <w:p>
            <w:pPr>
              <w:spacing w:after="0"/>
              <w:rPr>
                <w:sz w:val="1"/>
                <w:szCs w:val="1"/>
                <w:color w:val="auto"/>
              </w:rPr>
            </w:pPr>
          </w:p>
        </w:tc>
      </w:tr>
      <w:tr>
        <w:trPr>
          <w:trHeight w:val="135"/>
        </w:trPr>
        <w:tc>
          <w:tcPr>
            <w:tcW w:w="3320" w:type="dxa"/>
            <w:vAlign w:val="bottom"/>
            <w:gridSpan w:val="2"/>
          </w:tcPr>
          <w:p>
            <w:pPr>
              <w:spacing w:after="0"/>
              <w:rPr>
                <w:sz w:val="20"/>
                <w:szCs w:val="20"/>
                <w:color w:val="auto"/>
              </w:rPr>
            </w:pPr>
            <w:r>
              <w:rPr>
                <w:rFonts w:ascii="Arial" w:cs="Arial" w:eastAsia="Arial" w:hAnsi="Arial"/>
                <w:sz w:val="10"/>
                <w:szCs w:val="10"/>
                <w:color w:val="auto"/>
              </w:rPr>
              <w:t>Efficiency ratio (1)</w:t>
            </w:r>
          </w:p>
        </w:tc>
        <w:tc>
          <w:tcPr>
            <w:tcW w:w="24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59.35 %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62.05 %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65.96 %</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63.20 %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72.66 %</w:t>
            </w:r>
          </w:p>
        </w:tc>
        <w:tc>
          <w:tcPr>
            <w:tcW w:w="0" w:type="dxa"/>
            <w:vAlign w:val="bottom"/>
          </w:tcPr>
          <w:p>
            <w:pPr>
              <w:spacing w:after="0"/>
              <w:rPr>
                <w:sz w:val="1"/>
                <w:szCs w:val="1"/>
                <w:color w:val="auto"/>
              </w:rPr>
            </w:pP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6D6D6D"/>
        </w:rPr>
        <w:t>______________</w:t>
      </w:r>
    </w:p>
    <w:p>
      <w:pPr>
        <w:spacing w:after="0" w:line="21" w:lineRule="exact"/>
        <w:rPr>
          <w:sz w:val="20"/>
          <w:szCs w:val="20"/>
          <w:color w:val="auto"/>
        </w:rPr>
      </w:pPr>
    </w:p>
    <w:p>
      <w:pPr>
        <w:ind w:left="8" w:right="7120" w:hanging="8"/>
        <w:spacing w:after="0" w:line="942" w:lineRule="auto"/>
        <w:tabs>
          <w:tab w:leader="none" w:pos="152" w:val="left"/>
        </w:tabs>
        <w:numPr>
          <w:ilvl w:val="0"/>
          <w:numId w:val="19"/>
        </w:numPr>
        <w:rPr>
          <w:rFonts w:ascii="Arial" w:cs="Arial" w:eastAsia="Arial" w:hAnsi="Arial"/>
          <w:sz w:val="10"/>
          <w:szCs w:val="10"/>
          <w:color w:val="6D6D6D"/>
        </w:rPr>
      </w:pPr>
      <w:r>
        <w:rPr>
          <w:rFonts w:ascii="Arial" w:cs="Arial" w:eastAsia="Arial" w:hAnsi="Arial"/>
          <w:sz w:val="10"/>
          <w:szCs w:val="10"/>
          <w:color w:val="6D6D6D"/>
        </w:rPr>
        <w:t xml:space="preserve">Noninterest expense used for efficiency ratio divided by total revenue used for efficiency ratio. </w:t>
      </w:r>
      <w:r>
        <w:rPr>
          <w:rFonts w:ascii="Arial" w:cs="Arial" w:eastAsia="Arial" w:hAnsi="Arial"/>
          <w:sz w:val="1"/>
          <w:szCs w:val="1"/>
          <w:color w:val="6D6D6D"/>
        </w:rPr>
        <w:drawing>
          <wp:inline distT="0" distB="0" distL="0" distR="0">
            <wp:extent cx="548640" cy="1428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8640" cy="142875"/>
                    </a:xfrm>
                    <a:prstGeom prst="rect">
                      <a:avLst/>
                    </a:prstGeom>
                    <a:noFill/>
                    <a:ln>
                      <a:noFill/>
                    </a:ln>
                  </pic:spPr>
                </pic:pic>
              </a:graphicData>
            </a:graphic>
          </wp:inline>
        </w:drawing>
      </w:r>
      <w:r>
        <w:rPr>
          <w:rFonts w:ascii="Arial" w:cs="Arial" w:eastAsia="Arial" w:hAnsi="Arial"/>
          <w:sz w:val="10"/>
          <w:szCs w:val="10"/>
          <w:color w:val="001B2C"/>
        </w:rPr>
        <w:t xml:space="preserve"> 30</w:t>
      </w:r>
    </w:p>
    <w:p>
      <w:pPr>
        <w:sectPr>
          <w:pgSz w:w="11900" w:h="16838" w:orient="portrait"/>
          <w:cols w:equalWidth="0" w:num="1">
            <w:col w:w="11228"/>
          </w:cols>
          <w:pgMar w:left="292" w:top="835" w:right="379" w:bottom="1440" w:gutter="0" w:footer="0" w:header="0"/>
        </w:sectPr>
      </w:pPr>
    </w:p>
    <w:bookmarkStart w:id="34" w:name="page35"/>
    <w:bookmarkEnd w:id="34"/>
    <w:tbl>
      <w:tblPr>
        <w:tblLayout w:type="fixed"/>
        <w:tblInd w:w="8" w:type="dxa"/>
        <w:tblCellMar>
          <w:top w:w="0" w:type="dxa"/>
          <w:left w:w="0" w:type="dxa"/>
          <w:bottom w:w="0" w:type="dxa"/>
          <w:right w:w="0" w:type="dxa"/>
        </w:tblCellMar>
      </w:tblPr>
      <w:tr>
        <w:trPr>
          <w:trHeight w:val="131"/>
        </w:trPr>
        <w:tc>
          <w:tcPr>
            <w:tcW w:w="6540" w:type="dxa"/>
            <w:vAlign w:val="bottom"/>
            <w:gridSpan w:val="2"/>
          </w:tcPr>
          <w:p>
            <w:pPr>
              <w:spacing w:after="0"/>
              <w:rPr>
                <w:sz w:val="20"/>
                <w:szCs w:val="20"/>
                <w:color w:val="auto"/>
              </w:rPr>
            </w:pPr>
            <w:r>
              <w:rPr>
                <w:rFonts w:ascii="Arial" w:cs="Arial" w:eastAsia="Arial" w:hAnsi="Arial"/>
                <w:sz w:val="10"/>
                <w:szCs w:val="10"/>
                <w:b w:val="1"/>
                <w:bCs w:val="1"/>
                <w:color w:val="auto"/>
              </w:rPr>
              <w:t>BANC OF CALIFORNIA, INC.</w:t>
            </w:r>
          </w:p>
        </w:tc>
        <w:tc>
          <w:tcPr>
            <w:tcW w:w="1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35"/>
        </w:trPr>
        <w:tc>
          <w:tcPr>
            <w:tcW w:w="6540" w:type="dxa"/>
            <w:vAlign w:val="bottom"/>
            <w:gridSpan w:val="2"/>
          </w:tcPr>
          <w:p>
            <w:pPr>
              <w:spacing w:after="0"/>
              <w:rPr>
                <w:sz w:val="20"/>
                <w:szCs w:val="20"/>
                <w:color w:val="auto"/>
              </w:rPr>
            </w:pPr>
            <w:r>
              <w:rPr>
                <w:rFonts w:ascii="Arial" w:cs="Arial" w:eastAsia="Arial" w:hAnsi="Arial"/>
                <w:sz w:val="10"/>
                <w:szCs w:val="10"/>
                <w:b w:val="1"/>
                <w:bCs w:val="1"/>
                <w:color w:val="auto"/>
              </w:rPr>
              <w:t>NON-GAAP MEASURES</w:t>
            </w:r>
          </w:p>
        </w:tc>
        <w:tc>
          <w:tcPr>
            <w:tcW w:w="1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35"/>
        </w:trPr>
        <w:tc>
          <w:tcPr>
            <w:tcW w:w="6540" w:type="dxa"/>
            <w:vAlign w:val="bottom"/>
            <w:gridSpan w:val="2"/>
          </w:tcPr>
          <w:p>
            <w:pPr>
              <w:spacing w:after="0"/>
              <w:rPr>
                <w:sz w:val="20"/>
                <w:szCs w:val="20"/>
                <w:color w:val="auto"/>
              </w:rPr>
            </w:pPr>
            <w:r>
              <w:rPr>
                <w:rFonts w:ascii="Arial" w:cs="Arial" w:eastAsia="Arial" w:hAnsi="Arial"/>
                <w:sz w:val="10"/>
                <w:szCs w:val="10"/>
                <w:b w:val="1"/>
                <w:bCs w:val="1"/>
                <w:color w:val="auto"/>
              </w:rPr>
              <w:t>(UNAUDITED)</w:t>
            </w:r>
          </w:p>
        </w:tc>
        <w:tc>
          <w:tcPr>
            <w:tcW w:w="1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35"/>
        </w:trPr>
        <w:tc>
          <w:tcPr>
            <w:tcW w:w="120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560" w:type="dxa"/>
            <w:vAlign w:val="bottom"/>
          </w:tcPr>
          <w:p>
            <w:pPr>
              <w:jc w:val="right"/>
              <w:ind w:right="72"/>
              <w:spacing w:after="0"/>
              <w:rPr>
                <w:sz w:val="20"/>
                <w:szCs w:val="20"/>
                <w:color w:val="auto"/>
              </w:rPr>
            </w:pPr>
            <w:r>
              <w:rPr>
                <w:rFonts w:ascii="Arial" w:cs="Arial" w:eastAsia="Arial" w:hAnsi="Arial"/>
                <w:sz w:val="10"/>
                <w:szCs w:val="10"/>
                <w:b w:val="1"/>
                <w:bCs w:val="1"/>
                <w:color w:val="auto"/>
              </w:rPr>
              <w:t>December 31,</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tcPr>
          <w:p>
            <w:pPr>
              <w:jc w:val="right"/>
              <w:ind w:right="752"/>
              <w:spacing w:after="0"/>
              <w:rPr>
                <w:sz w:val="20"/>
                <w:szCs w:val="20"/>
                <w:color w:val="auto"/>
              </w:rPr>
            </w:pPr>
            <w:r>
              <w:rPr>
                <w:rFonts w:ascii="Arial" w:cs="Arial" w:eastAsia="Arial" w:hAnsi="Arial"/>
                <w:sz w:val="10"/>
                <w:szCs w:val="10"/>
                <w:b w:val="1"/>
                <w:bCs w:val="1"/>
                <w:color w:val="auto"/>
              </w:rPr>
              <w:t>September 30,</w:t>
            </w:r>
          </w:p>
        </w:tc>
      </w:tr>
      <w:tr>
        <w:trPr>
          <w:trHeight w:val="110"/>
        </w:trPr>
        <w:tc>
          <w:tcPr>
            <w:tcW w:w="654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Economic Coverage Ratio</w:t>
            </w:r>
          </w:p>
        </w:tc>
        <w:tc>
          <w:tcPr>
            <w:tcW w:w="1560" w:type="dxa"/>
            <w:vAlign w:val="bottom"/>
          </w:tcPr>
          <w:p>
            <w:pPr>
              <w:jc w:val="right"/>
              <w:ind w:right="272"/>
              <w:spacing w:after="0" w:line="110" w:lineRule="exact"/>
              <w:rPr>
                <w:sz w:val="20"/>
                <w:szCs w:val="20"/>
                <w:color w:val="auto"/>
              </w:rPr>
            </w:pPr>
            <w:r>
              <w:rPr>
                <w:rFonts w:ascii="Arial" w:cs="Arial" w:eastAsia="Arial" w:hAnsi="Arial"/>
                <w:sz w:val="10"/>
                <w:szCs w:val="10"/>
                <w:b w:val="1"/>
                <w:bCs w:val="1"/>
                <w:color w:val="auto"/>
              </w:rPr>
              <w:t>2025</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20" w:type="dxa"/>
            <w:vAlign w:val="bottom"/>
          </w:tcPr>
          <w:p>
            <w:pPr>
              <w:jc w:val="right"/>
              <w:ind w:right="972"/>
              <w:spacing w:after="0" w:line="110" w:lineRule="exact"/>
              <w:rPr>
                <w:sz w:val="20"/>
                <w:szCs w:val="20"/>
                <w:color w:val="auto"/>
              </w:rPr>
            </w:pPr>
            <w:r>
              <w:rPr>
                <w:rFonts w:ascii="Arial" w:cs="Arial" w:eastAsia="Arial" w:hAnsi="Arial"/>
                <w:sz w:val="10"/>
                <w:szCs w:val="10"/>
                <w:b w:val="1"/>
                <w:bCs w:val="1"/>
                <w:color w:val="auto"/>
              </w:rPr>
              <w:t>2025</w:t>
            </w: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09"/>
        </w:trPr>
        <w:tc>
          <w:tcPr>
            <w:tcW w:w="120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20" w:type="dxa"/>
            <w:vAlign w:val="bottom"/>
            <w:gridSpan w:val="3"/>
          </w:tcPr>
          <w:p>
            <w:pPr>
              <w:jc w:val="right"/>
              <w:ind w:right="132"/>
              <w:spacing w:after="0" w:line="109" w:lineRule="exact"/>
              <w:rPr>
                <w:sz w:val="20"/>
                <w:szCs w:val="20"/>
                <w:color w:val="auto"/>
              </w:rPr>
            </w:pPr>
            <w:r>
              <w:rPr>
                <w:rFonts w:ascii="Arial" w:cs="Arial" w:eastAsia="Arial" w:hAnsi="Arial"/>
                <w:sz w:val="10"/>
                <w:szCs w:val="10"/>
                <w:b w:val="1"/>
                <w:bCs w:val="1"/>
                <w:i w:val="1"/>
                <w:iCs w:val="1"/>
                <w:color w:val="auto"/>
              </w:rPr>
              <w:t>(Dollars in thousands)</w:t>
            </w:r>
          </w:p>
        </w:tc>
        <w:tc>
          <w:tcPr>
            <w:tcW w:w="1620" w:type="dxa"/>
            <w:vAlign w:val="bottom"/>
          </w:tcPr>
          <w:p>
            <w:pPr>
              <w:spacing w:after="0"/>
              <w:rPr>
                <w:sz w:val="9"/>
                <w:szCs w:val="9"/>
                <w:color w:val="auto"/>
              </w:rPr>
            </w:pPr>
          </w:p>
        </w:tc>
      </w:tr>
      <w:tr>
        <w:trPr>
          <w:trHeight w:val="131"/>
        </w:trPr>
        <w:tc>
          <w:tcPr>
            <w:tcW w:w="6540" w:type="dxa"/>
            <w:vAlign w:val="bottom"/>
            <w:gridSpan w:val="2"/>
          </w:tcPr>
          <w:p>
            <w:pPr>
              <w:spacing w:after="0"/>
              <w:rPr>
                <w:sz w:val="20"/>
                <w:szCs w:val="20"/>
                <w:color w:val="auto"/>
              </w:rPr>
            </w:pPr>
            <w:r>
              <w:rPr>
                <w:rFonts w:ascii="Arial" w:cs="Arial" w:eastAsia="Arial" w:hAnsi="Arial"/>
                <w:sz w:val="10"/>
                <w:szCs w:val="10"/>
                <w:color w:val="auto"/>
              </w:rPr>
              <w:t>Allowance for credit losses ("ACL")</w:t>
            </w:r>
          </w:p>
        </w:tc>
        <w:tc>
          <w:tcPr>
            <w:tcW w:w="1560" w:type="dxa"/>
            <w:vAlign w:val="bottom"/>
          </w:tcPr>
          <w:p>
            <w:pPr>
              <w:jc w:val="right"/>
              <w:ind w:right="145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280,533</w:t>
            </w:r>
          </w:p>
        </w:tc>
        <w:tc>
          <w:tcPr>
            <w:tcW w:w="80" w:type="dxa"/>
            <w:vAlign w:val="bottom"/>
          </w:tcPr>
          <w:p>
            <w:pPr>
              <w:spacing w:after="0"/>
              <w:rPr>
                <w:sz w:val="11"/>
                <w:szCs w:val="11"/>
                <w:color w:val="auto"/>
              </w:rPr>
            </w:pP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92"/>
              <w:spacing w:after="0"/>
              <w:rPr>
                <w:sz w:val="20"/>
                <w:szCs w:val="20"/>
                <w:color w:val="auto"/>
              </w:rPr>
            </w:pPr>
            <w:r>
              <w:rPr>
                <w:rFonts w:ascii="Arial" w:cs="Arial" w:eastAsia="Arial" w:hAnsi="Arial"/>
                <w:sz w:val="10"/>
                <w:szCs w:val="10"/>
                <w:color w:val="auto"/>
              </w:rPr>
              <w:t>270,722</w:t>
            </w:r>
          </w:p>
        </w:tc>
      </w:tr>
      <w:tr>
        <w:trPr>
          <w:trHeight w:val="135"/>
        </w:trPr>
        <w:tc>
          <w:tcPr>
            <w:tcW w:w="6540" w:type="dxa"/>
            <w:vAlign w:val="bottom"/>
            <w:gridSpan w:val="2"/>
          </w:tcPr>
          <w:p>
            <w:pPr>
              <w:spacing w:after="0"/>
              <w:rPr>
                <w:sz w:val="20"/>
                <w:szCs w:val="20"/>
                <w:color w:val="auto"/>
              </w:rPr>
            </w:pPr>
            <w:r>
              <w:rPr>
                <w:rFonts w:ascii="Arial" w:cs="Arial" w:eastAsia="Arial" w:hAnsi="Arial"/>
                <w:sz w:val="10"/>
                <w:szCs w:val="10"/>
                <w:color w:val="auto"/>
              </w:rPr>
              <w:t>Add: Unearned credit mark from purchase accounting (1)</w:t>
            </w:r>
          </w:p>
        </w:tc>
        <w:tc>
          <w:tcPr>
            <w:tcW w:w="15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15,865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20" w:type="dxa"/>
            <w:vAlign w:val="bottom"/>
          </w:tcPr>
          <w:p>
            <w:pPr>
              <w:jc w:val="right"/>
              <w:ind w:right="92"/>
              <w:spacing w:after="0"/>
              <w:rPr>
                <w:sz w:val="20"/>
                <w:szCs w:val="20"/>
                <w:color w:val="auto"/>
              </w:rPr>
            </w:pPr>
            <w:r>
              <w:rPr>
                <w:rFonts w:ascii="Arial" w:cs="Arial" w:eastAsia="Arial" w:hAnsi="Arial"/>
                <w:sz w:val="10"/>
                <w:szCs w:val="10"/>
                <w:color w:val="auto"/>
              </w:rPr>
              <w:t>17,496</w:t>
            </w:r>
          </w:p>
        </w:tc>
      </w:tr>
      <w:tr>
        <w:trPr>
          <w:trHeight w:val="138"/>
        </w:trPr>
        <w:tc>
          <w:tcPr>
            <w:tcW w:w="6540" w:type="dxa"/>
            <w:vAlign w:val="bottom"/>
            <w:gridSpan w:val="2"/>
          </w:tcPr>
          <w:p>
            <w:pPr>
              <w:spacing w:after="0"/>
              <w:rPr>
                <w:sz w:val="20"/>
                <w:szCs w:val="20"/>
                <w:color w:val="auto"/>
              </w:rPr>
            </w:pPr>
            <w:r>
              <w:rPr>
                <w:rFonts w:ascii="Arial" w:cs="Arial" w:eastAsia="Arial" w:hAnsi="Arial"/>
                <w:sz w:val="10"/>
                <w:szCs w:val="10"/>
                <w:color w:val="auto"/>
              </w:rPr>
              <w:t>Add: Credit-linked notes (2)</w:t>
            </w:r>
          </w:p>
        </w:tc>
        <w:tc>
          <w:tcPr>
            <w:tcW w:w="1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108,413</w:t>
            </w: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110,539</w:t>
            </w:r>
          </w:p>
        </w:tc>
      </w:tr>
      <w:tr>
        <w:trPr>
          <w:trHeight w:val="127"/>
        </w:trPr>
        <w:tc>
          <w:tcPr>
            <w:tcW w:w="6540" w:type="dxa"/>
            <w:vAlign w:val="bottom"/>
            <w:gridSpan w:val="2"/>
          </w:tcPr>
          <w:p>
            <w:pPr>
              <w:ind w:left="80"/>
              <w:spacing w:after="0"/>
              <w:rPr>
                <w:sz w:val="20"/>
                <w:szCs w:val="20"/>
                <w:color w:val="auto"/>
              </w:rPr>
            </w:pPr>
            <w:r>
              <w:rPr>
                <w:rFonts w:ascii="Arial" w:cs="Arial" w:eastAsia="Arial" w:hAnsi="Arial"/>
                <w:sz w:val="10"/>
                <w:szCs w:val="10"/>
                <w:color w:val="auto"/>
              </w:rPr>
              <w:t>Adjusted allowance for credit losses</w:t>
            </w:r>
          </w:p>
        </w:tc>
        <w:tc>
          <w:tcPr>
            <w:tcW w:w="1560" w:type="dxa"/>
            <w:vAlign w:val="bottom"/>
            <w:tcBorders>
              <w:bottom w:val="single" w:sz="8" w:color="auto"/>
            </w:tcBorders>
          </w:tcPr>
          <w:p>
            <w:pPr>
              <w:jc w:val="right"/>
              <w:ind w:right="14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404,811</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398,757</w:t>
            </w:r>
          </w:p>
        </w:tc>
      </w:tr>
      <w:tr>
        <w:trPr>
          <w:trHeight w:val="20"/>
        </w:trPr>
        <w:tc>
          <w:tcPr>
            <w:tcW w:w="12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1"/>
        </w:trPr>
        <w:tc>
          <w:tcPr>
            <w:tcW w:w="6540" w:type="dxa"/>
            <w:vAlign w:val="bottom"/>
            <w:gridSpan w:val="2"/>
          </w:tcPr>
          <w:p>
            <w:pPr>
              <w:spacing w:after="0"/>
              <w:rPr>
                <w:sz w:val="20"/>
                <w:szCs w:val="20"/>
                <w:color w:val="auto"/>
              </w:rPr>
            </w:pPr>
            <w:r>
              <w:rPr>
                <w:rFonts w:ascii="Arial" w:cs="Arial" w:eastAsia="Arial" w:hAnsi="Arial"/>
                <w:sz w:val="10"/>
                <w:szCs w:val="10"/>
                <w:color w:val="auto"/>
              </w:rPr>
              <w:t>Loans and leases held for investment</w:t>
            </w:r>
          </w:p>
        </w:tc>
        <w:tc>
          <w:tcPr>
            <w:tcW w:w="1560" w:type="dxa"/>
            <w:vAlign w:val="bottom"/>
          </w:tcPr>
          <w:p>
            <w:pPr>
              <w:jc w:val="right"/>
              <w:ind w:right="145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25,032,679</w:t>
            </w:r>
          </w:p>
        </w:tc>
        <w:tc>
          <w:tcPr>
            <w:tcW w:w="80" w:type="dxa"/>
            <w:vAlign w:val="bottom"/>
          </w:tcPr>
          <w:p>
            <w:pPr>
              <w:spacing w:after="0"/>
              <w:rPr>
                <w:sz w:val="20"/>
                <w:szCs w:val="20"/>
                <w:color w:val="auto"/>
              </w:rPr>
            </w:pP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92"/>
              <w:spacing w:after="0"/>
              <w:rPr>
                <w:sz w:val="20"/>
                <w:szCs w:val="20"/>
                <w:color w:val="auto"/>
              </w:rPr>
            </w:pPr>
            <w:r>
              <w:rPr>
                <w:rFonts w:ascii="Arial" w:cs="Arial" w:eastAsia="Arial" w:hAnsi="Arial"/>
                <w:sz w:val="10"/>
                <w:szCs w:val="10"/>
                <w:color w:val="auto"/>
              </w:rPr>
              <w:t>24,110,642</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66344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663440" cy="51435"/>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25"/>
        </w:trPr>
        <w:tc>
          <w:tcPr>
            <w:tcW w:w="5260" w:type="dxa"/>
            <w:vAlign w:val="bottom"/>
          </w:tcPr>
          <w:p>
            <w:pPr>
              <w:spacing w:after="0"/>
              <w:rPr>
                <w:sz w:val="20"/>
                <w:szCs w:val="20"/>
                <w:color w:val="auto"/>
              </w:rPr>
            </w:pPr>
            <w:r>
              <w:rPr>
                <w:rFonts w:ascii="Arial" w:cs="Arial" w:eastAsia="Arial" w:hAnsi="Arial"/>
                <w:sz w:val="10"/>
                <w:szCs w:val="10"/>
                <w:color w:val="auto"/>
              </w:rPr>
              <w:t>ACL to loans and leases held for investment (3)</w:t>
            </w:r>
          </w:p>
        </w:tc>
        <w:tc>
          <w:tcPr>
            <w:tcW w:w="4540" w:type="dxa"/>
            <w:vAlign w:val="bottom"/>
          </w:tcPr>
          <w:p>
            <w:pPr>
              <w:jc w:val="right"/>
              <w:ind w:right="952"/>
              <w:spacing w:after="0"/>
              <w:rPr>
                <w:sz w:val="20"/>
                <w:szCs w:val="20"/>
                <w:color w:val="auto"/>
              </w:rPr>
            </w:pPr>
            <w:r>
              <w:rPr>
                <w:rFonts w:ascii="Arial" w:cs="Arial" w:eastAsia="Arial" w:hAnsi="Arial"/>
                <w:sz w:val="10"/>
                <w:szCs w:val="10"/>
                <w:color w:val="auto"/>
              </w:rPr>
              <w:t>1.12 %</w:t>
            </w:r>
          </w:p>
        </w:tc>
        <w:tc>
          <w:tcPr>
            <w:tcW w:w="1320" w:type="dxa"/>
            <w:vAlign w:val="bottom"/>
          </w:tcPr>
          <w:p>
            <w:pPr>
              <w:jc w:val="right"/>
              <w:spacing w:after="0"/>
              <w:rPr>
                <w:sz w:val="20"/>
                <w:szCs w:val="20"/>
                <w:color w:val="auto"/>
              </w:rPr>
            </w:pPr>
            <w:r>
              <w:rPr>
                <w:rFonts w:ascii="Arial" w:cs="Arial" w:eastAsia="Arial" w:hAnsi="Arial"/>
                <w:sz w:val="10"/>
                <w:szCs w:val="10"/>
                <w:color w:val="auto"/>
              </w:rPr>
              <w:t>1.12 %</w:t>
            </w:r>
          </w:p>
        </w:tc>
      </w:tr>
      <w:tr>
        <w:trPr>
          <w:trHeight w:val="135"/>
        </w:trPr>
        <w:tc>
          <w:tcPr>
            <w:tcW w:w="5260" w:type="dxa"/>
            <w:vAlign w:val="bottom"/>
          </w:tcPr>
          <w:p>
            <w:pPr>
              <w:spacing w:after="0"/>
              <w:rPr>
                <w:sz w:val="20"/>
                <w:szCs w:val="20"/>
                <w:color w:val="auto"/>
              </w:rPr>
            </w:pPr>
            <w:r>
              <w:rPr>
                <w:rFonts w:ascii="Arial" w:cs="Arial" w:eastAsia="Arial" w:hAnsi="Arial"/>
                <w:sz w:val="10"/>
                <w:szCs w:val="10"/>
                <w:color w:val="auto"/>
              </w:rPr>
              <w:t>Economic coverage ratio (4)</w:t>
            </w:r>
          </w:p>
        </w:tc>
        <w:tc>
          <w:tcPr>
            <w:tcW w:w="4540" w:type="dxa"/>
            <w:vAlign w:val="bottom"/>
          </w:tcPr>
          <w:p>
            <w:pPr>
              <w:jc w:val="right"/>
              <w:ind w:right="952"/>
              <w:spacing w:after="0"/>
              <w:rPr>
                <w:sz w:val="20"/>
                <w:szCs w:val="20"/>
                <w:color w:val="auto"/>
              </w:rPr>
            </w:pPr>
            <w:r>
              <w:rPr>
                <w:rFonts w:ascii="Arial" w:cs="Arial" w:eastAsia="Arial" w:hAnsi="Arial"/>
                <w:sz w:val="10"/>
                <w:szCs w:val="10"/>
                <w:color w:val="auto"/>
              </w:rPr>
              <w:t>1.62 %</w:t>
            </w:r>
          </w:p>
        </w:tc>
        <w:tc>
          <w:tcPr>
            <w:tcW w:w="1320" w:type="dxa"/>
            <w:vAlign w:val="bottom"/>
          </w:tcPr>
          <w:p>
            <w:pPr>
              <w:jc w:val="right"/>
              <w:spacing w:after="0"/>
              <w:rPr>
                <w:sz w:val="20"/>
                <w:szCs w:val="20"/>
                <w:color w:val="auto"/>
              </w:rPr>
            </w:pPr>
            <w:r>
              <w:rPr>
                <w:rFonts w:ascii="Arial" w:cs="Arial" w:eastAsia="Arial" w:hAnsi="Arial"/>
                <w:sz w:val="10"/>
                <w:szCs w:val="10"/>
                <w:color w:val="auto"/>
              </w:rPr>
              <w:t>1.65 %</w:t>
            </w: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color w:val="6D6D6D"/>
        </w:rPr>
        <w:t>______________</w:t>
      </w:r>
    </w:p>
    <w:p>
      <w:pPr>
        <w:spacing w:after="0" w:line="15" w:lineRule="exact"/>
        <w:rPr>
          <w:sz w:val="20"/>
          <w:szCs w:val="20"/>
          <w:color w:val="auto"/>
        </w:rPr>
      </w:pPr>
    </w:p>
    <w:p>
      <w:pPr>
        <w:ind w:left="148" w:hanging="148"/>
        <w:spacing w:after="0"/>
        <w:tabs>
          <w:tab w:leader="none" w:pos="148" w:val="left"/>
        </w:tabs>
        <w:numPr>
          <w:ilvl w:val="0"/>
          <w:numId w:val="20"/>
        </w:numPr>
        <w:rPr>
          <w:rFonts w:ascii="Arial" w:cs="Arial" w:eastAsia="Arial" w:hAnsi="Arial"/>
          <w:sz w:val="10"/>
          <w:szCs w:val="10"/>
          <w:color w:val="6D6D6D"/>
        </w:rPr>
      </w:pPr>
      <w:r>
        <w:rPr>
          <w:rFonts w:ascii="Arial" w:cs="Arial" w:eastAsia="Arial" w:hAnsi="Arial"/>
          <w:sz w:val="10"/>
          <w:szCs w:val="10"/>
          <w:color w:val="6D6D6D"/>
        </w:rPr>
        <w:t>Unearned credit mark from purchase accounting estimated by using the same pro rata split between the credit and yield marks associated with non-PCD loans (purchased loans without credit deterioration at the time of purchase).</w:t>
      </w:r>
    </w:p>
    <w:p>
      <w:pPr>
        <w:ind w:left="148" w:hanging="148"/>
        <w:spacing w:after="0"/>
        <w:tabs>
          <w:tab w:leader="none" w:pos="148" w:val="left"/>
        </w:tabs>
        <w:numPr>
          <w:ilvl w:val="0"/>
          <w:numId w:val="20"/>
        </w:numPr>
        <w:rPr>
          <w:rFonts w:ascii="Arial" w:cs="Arial" w:eastAsia="Arial" w:hAnsi="Arial"/>
          <w:sz w:val="10"/>
          <w:szCs w:val="10"/>
          <w:color w:val="6D6D6D"/>
        </w:rPr>
      </w:pPr>
      <w:r>
        <w:rPr>
          <w:rFonts w:ascii="Arial" w:cs="Arial" w:eastAsia="Arial" w:hAnsi="Arial"/>
          <w:sz w:val="10"/>
          <w:szCs w:val="10"/>
          <w:color w:val="6D6D6D"/>
        </w:rPr>
        <w:t>Credit-linked notes loss coverage equal to 5% of the unpaid principal balance of the pledged loans.</w:t>
      </w:r>
    </w:p>
    <w:p>
      <w:pPr>
        <w:spacing w:after="0" w:line="1" w:lineRule="exact"/>
        <w:rPr>
          <w:rFonts w:ascii="Arial" w:cs="Arial" w:eastAsia="Arial" w:hAnsi="Arial"/>
          <w:sz w:val="10"/>
          <w:szCs w:val="10"/>
          <w:color w:val="6D6D6D"/>
        </w:rPr>
      </w:pPr>
    </w:p>
    <w:p>
      <w:pPr>
        <w:ind w:left="148" w:hanging="148"/>
        <w:spacing w:after="0"/>
        <w:tabs>
          <w:tab w:leader="none" w:pos="148" w:val="left"/>
        </w:tabs>
        <w:numPr>
          <w:ilvl w:val="0"/>
          <w:numId w:val="20"/>
        </w:numPr>
        <w:rPr>
          <w:rFonts w:ascii="Arial" w:cs="Arial" w:eastAsia="Arial" w:hAnsi="Arial"/>
          <w:sz w:val="10"/>
          <w:szCs w:val="10"/>
          <w:color w:val="6D6D6D"/>
        </w:rPr>
      </w:pPr>
      <w:r>
        <w:rPr>
          <w:rFonts w:ascii="Arial" w:cs="Arial" w:eastAsia="Arial" w:hAnsi="Arial"/>
          <w:sz w:val="10"/>
          <w:szCs w:val="10"/>
          <w:color w:val="6D6D6D"/>
        </w:rPr>
        <w:t>Allowance for credit losses divided by loans and leases held for investment.</w:t>
      </w:r>
    </w:p>
    <w:p>
      <w:pPr>
        <w:spacing w:after="0" w:line="2" w:lineRule="exact"/>
        <w:rPr>
          <w:rFonts w:ascii="Arial" w:cs="Arial" w:eastAsia="Arial" w:hAnsi="Arial"/>
          <w:sz w:val="10"/>
          <w:szCs w:val="10"/>
          <w:color w:val="6D6D6D"/>
        </w:rPr>
      </w:pPr>
    </w:p>
    <w:p>
      <w:pPr>
        <w:ind w:left="148" w:hanging="148"/>
        <w:spacing w:after="0"/>
        <w:tabs>
          <w:tab w:leader="none" w:pos="148" w:val="left"/>
        </w:tabs>
        <w:numPr>
          <w:ilvl w:val="0"/>
          <w:numId w:val="20"/>
        </w:numPr>
        <w:rPr>
          <w:rFonts w:ascii="Arial" w:cs="Arial" w:eastAsia="Arial" w:hAnsi="Arial"/>
          <w:sz w:val="10"/>
          <w:szCs w:val="10"/>
          <w:color w:val="6D6D6D"/>
        </w:rPr>
      </w:pPr>
      <w:r>
        <w:rPr>
          <w:rFonts w:ascii="Arial" w:cs="Arial" w:eastAsia="Arial" w:hAnsi="Arial"/>
          <w:sz w:val="10"/>
          <w:szCs w:val="10"/>
          <w:color w:val="6D6D6D"/>
        </w:rPr>
        <w:t>Adjusted allowance for credit losses divided by loans and leases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54864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8640" cy="14287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168"/>
        <w:spacing w:after="0"/>
        <w:rPr>
          <w:sz w:val="20"/>
          <w:szCs w:val="20"/>
          <w:color w:val="auto"/>
        </w:rPr>
      </w:pPr>
      <w:r>
        <w:rPr>
          <w:rFonts w:ascii="Arial" w:cs="Arial" w:eastAsia="Arial" w:hAnsi="Arial"/>
          <w:sz w:val="10"/>
          <w:szCs w:val="10"/>
          <w:color w:val="001B2C"/>
        </w:rPr>
        <w:t>31</w:t>
      </w:r>
    </w:p>
    <w:p>
      <w:pPr>
        <w:sectPr>
          <w:pgSz w:w="11900" w:h="16838" w:orient="portrait"/>
          <w:cols w:equalWidth="0" w:num="1">
            <w:col w:w="11148"/>
          </w:cols>
          <w:pgMar w:left="292" w:top="835" w:right="459" w:bottom="1440"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lvl w:ilvl="1">
      <w:lvlJc w:val="left"/>
      <w:lvlText w:val="(%2)"/>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13"/>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2026-01-21T16:04:28Z</dcterms:created>
  <dcterms:modified xsi:type="dcterms:W3CDTF">2026-01-21T16:04:28Z</dcterms:modified>
</cp:coreProperties>
</file>